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6BF0F" w14:textId="77777777" w:rsidR="009655C8" w:rsidRPr="00FE7579" w:rsidRDefault="00935016" w:rsidP="009655C8">
      <w:pPr>
        <w:pStyle w:val="berschrift1"/>
        <w:jc w:val="center"/>
        <w:rPr>
          <w:rFonts w:asciiTheme="minorHAnsi" w:hAnsiTheme="minorHAnsi" w:cs="Arial"/>
          <w:b/>
          <w:color w:val="auto"/>
          <w:sz w:val="28"/>
          <w:szCs w:val="24"/>
        </w:rPr>
      </w:pPr>
      <w:r w:rsidRPr="00FE7579">
        <w:rPr>
          <w:rFonts w:asciiTheme="minorHAnsi" w:hAnsiTheme="minorHAnsi"/>
          <w:b/>
          <w:color w:val="auto"/>
          <w:sz w:val="28"/>
        </w:rPr>
        <w:t>Services de f</w:t>
      </w:r>
      <w:r w:rsidR="009655C8" w:rsidRPr="00FE7579">
        <w:rPr>
          <w:rFonts w:asciiTheme="minorHAnsi" w:hAnsiTheme="minorHAnsi"/>
          <w:b/>
          <w:color w:val="auto"/>
          <w:sz w:val="28"/>
        </w:rPr>
        <w:t>o</w:t>
      </w:r>
      <w:r w:rsidR="007A7C5B" w:rsidRPr="00FE7579">
        <w:rPr>
          <w:rFonts w:asciiTheme="minorHAnsi" w:hAnsiTheme="minorHAnsi"/>
          <w:b/>
          <w:color w:val="auto"/>
          <w:sz w:val="28"/>
        </w:rPr>
        <w:t>rmation et de conseil pour les É</w:t>
      </w:r>
      <w:r w:rsidR="009655C8" w:rsidRPr="00FE7579">
        <w:rPr>
          <w:rFonts w:asciiTheme="minorHAnsi" w:hAnsiTheme="minorHAnsi"/>
          <w:b/>
          <w:color w:val="auto"/>
          <w:sz w:val="28"/>
        </w:rPr>
        <w:t>tats membres du CELV</w:t>
      </w:r>
    </w:p>
    <w:p w14:paraId="256C5840" w14:textId="77777777" w:rsidR="009655C8" w:rsidRPr="00FE7579" w:rsidRDefault="00334BFC" w:rsidP="00357DE3">
      <w:pPr>
        <w:pStyle w:val="Standa1"/>
        <w:spacing w:after="0" w:line="240" w:lineRule="auto"/>
        <w:ind w:left="284"/>
        <w:jc w:val="center"/>
        <w:rPr>
          <w:rStyle w:val="Hyperlink"/>
          <w:rFonts w:asciiTheme="minorHAnsi" w:hAnsiTheme="minorHAnsi"/>
        </w:rPr>
      </w:pPr>
      <w:hyperlink r:id="rId8" w:history="1">
        <w:r w:rsidRPr="00FE7579">
          <w:rPr>
            <w:rStyle w:val="Hyperlink"/>
            <w:rFonts w:asciiTheme="minorHAnsi" w:hAnsiTheme="minorHAnsi"/>
          </w:rPr>
          <w:t>www.ecml.at/trainingandconsultancy</w:t>
        </w:r>
      </w:hyperlink>
    </w:p>
    <w:p w14:paraId="488252C3" w14:textId="77777777" w:rsidR="00334BFC" w:rsidRPr="00FE7579" w:rsidRDefault="00334BFC" w:rsidP="00357DE3">
      <w:pPr>
        <w:pStyle w:val="Standa1"/>
        <w:spacing w:after="0" w:line="240" w:lineRule="auto"/>
        <w:ind w:left="284"/>
        <w:jc w:val="center"/>
        <w:rPr>
          <w:rFonts w:asciiTheme="minorHAnsi" w:hAnsiTheme="minorHAnsi" w:cs="Arial"/>
          <w:szCs w:val="20"/>
        </w:rPr>
      </w:pPr>
    </w:p>
    <w:p w14:paraId="4AADCF91" w14:textId="2EEBF2DE" w:rsidR="00C26A75" w:rsidRPr="00FE7579" w:rsidRDefault="00D10D54" w:rsidP="009655C8">
      <w:pPr>
        <w:pStyle w:val="berschrift1"/>
        <w:spacing w:before="120" w:after="120" w:line="257" w:lineRule="auto"/>
        <w:jc w:val="center"/>
        <w:rPr>
          <w:rFonts w:asciiTheme="minorHAnsi" w:hAnsiTheme="minorHAnsi"/>
          <w:b/>
          <w:sz w:val="36"/>
        </w:rPr>
      </w:pPr>
      <w:r w:rsidRPr="00FE7579">
        <w:rPr>
          <w:rFonts w:asciiTheme="minorHAnsi" w:hAnsiTheme="minorHAnsi"/>
          <w:b/>
          <w:sz w:val="36"/>
        </w:rPr>
        <w:t>Formulaire de demande d</w:t>
      </w:r>
      <w:r w:rsidR="00980D74" w:rsidRPr="00FE7579">
        <w:rPr>
          <w:rFonts w:asciiTheme="minorHAnsi" w:hAnsiTheme="minorHAnsi"/>
          <w:b/>
          <w:sz w:val="36"/>
        </w:rPr>
        <w:t>’</w:t>
      </w:r>
      <w:r w:rsidR="007A7C5B" w:rsidRPr="00FE7579">
        <w:rPr>
          <w:rFonts w:asciiTheme="minorHAnsi" w:hAnsiTheme="minorHAnsi"/>
          <w:b/>
          <w:sz w:val="36"/>
        </w:rPr>
        <w:t>activité pour 202</w:t>
      </w:r>
      <w:r w:rsidR="00822506">
        <w:rPr>
          <w:rFonts w:asciiTheme="minorHAnsi" w:hAnsiTheme="minorHAnsi"/>
          <w:b/>
          <w:sz w:val="36"/>
        </w:rPr>
        <w:t>5</w:t>
      </w:r>
    </w:p>
    <w:p w14:paraId="7DF2E49F" w14:textId="37BFB3EC" w:rsidR="00EA62C6" w:rsidRPr="00FE7579" w:rsidRDefault="00423FDF" w:rsidP="00EA62C6">
      <w:pPr>
        <w:pStyle w:val="Standa1"/>
        <w:spacing w:after="120" w:line="240" w:lineRule="auto"/>
        <w:jc w:val="center"/>
        <w:rPr>
          <w:rFonts w:eastAsia="Calibri"/>
        </w:rPr>
      </w:pPr>
      <w:r w:rsidRPr="00FE7579">
        <w:rPr>
          <w:rFonts w:eastAsia="Calibri"/>
        </w:rPr>
        <w:t>Vous trouverez</w:t>
      </w:r>
      <w:r w:rsidR="00EA62C6" w:rsidRPr="00FE7579">
        <w:rPr>
          <w:rFonts w:eastAsia="Calibri"/>
        </w:rPr>
        <w:t xml:space="preserve"> un aperçu de toutes les offres</w:t>
      </w:r>
      <w:r w:rsidRPr="00FE7579">
        <w:rPr>
          <w:rFonts w:eastAsia="Calibri"/>
        </w:rPr>
        <w:t xml:space="preserve"> </w:t>
      </w:r>
      <w:r w:rsidR="00954FAA" w:rsidRPr="00FE7579">
        <w:rPr>
          <w:rFonts w:eastAsia="Calibri"/>
        </w:rPr>
        <w:t xml:space="preserve">aux </w:t>
      </w:r>
      <w:r w:rsidR="00EA62C6" w:rsidRPr="00FE7579">
        <w:rPr>
          <w:rFonts w:eastAsia="Calibri"/>
        </w:rPr>
        <w:t>pages 3 et 4.</w:t>
      </w:r>
    </w:p>
    <w:p w14:paraId="6A39A783" w14:textId="2E7E7A28" w:rsidR="00F90B96" w:rsidRPr="00FE7579" w:rsidRDefault="00F90B96" w:rsidP="00EA62C6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  <w:r w:rsidRPr="00FE7579">
        <w:rPr>
          <w:rFonts w:asciiTheme="minorHAnsi" w:hAnsiTheme="minorHAnsi"/>
          <w:b/>
          <w:sz w:val="24"/>
        </w:rPr>
        <w:t>Le formulaire de demande doit être complété et re</w:t>
      </w:r>
      <w:r w:rsidR="007A7C5B" w:rsidRPr="00FE7579">
        <w:rPr>
          <w:rFonts w:asciiTheme="minorHAnsi" w:hAnsiTheme="minorHAnsi"/>
          <w:b/>
          <w:sz w:val="24"/>
        </w:rPr>
        <w:t xml:space="preserve">tourné avant le </w:t>
      </w:r>
      <w:r w:rsidR="00822506">
        <w:rPr>
          <w:rFonts w:asciiTheme="minorHAnsi" w:hAnsiTheme="minorHAnsi"/>
          <w:b/>
          <w:sz w:val="24"/>
          <w:highlight w:val="green"/>
        </w:rPr>
        <w:t>15</w:t>
      </w:r>
      <w:r w:rsidR="00715673" w:rsidRPr="008944BC">
        <w:rPr>
          <w:rFonts w:asciiTheme="minorHAnsi" w:hAnsiTheme="minorHAnsi"/>
          <w:b/>
          <w:sz w:val="24"/>
          <w:highlight w:val="green"/>
        </w:rPr>
        <w:t xml:space="preserve"> </w:t>
      </w:r>
      <w:r w:rsidR="00822506">
        <w:rPr>
          <w:rFonts w:asciiTheme="minorHAnsi" w:hAnsiTheme="minorHAnsi"/>
          <w:b/>
          <w:sz w:val="24"/>
          <w:highlight w:val="green"/>
        </w:rPr>
        <w:t>novem</w:t>
      </w:r>
      <w:r w:rsidR="00715673" w:rsidRPr="008944BC">
        <w:rPr>
          <w:rFonts w:asciiTheme="minorHAnsi" w:hAnsiTheme="minorHAnsi"/>
          <w:b/>
          <w:sz w:val="24"/>
          <w:highlight w:val="green"/>
        </w:rPr>
        <w:t>bre</w:t>
      </w:r>
      <w:r w:rsidR="00334AA2" w:rsidRPr="008944BC">
        <w:rPr>
          <w:rFonts w:asciiTheme="minorHAnsi" w:hAnsiTheme="minorHAnsi"/>
          <w:b/>
          <w:sz w:val="24"/>
          <w:highlight w:val="green"/>
        </w:rPr>
        <w:t xml:space="preserve"> 202</w:t>
      </w:r>
      <w:r w:rsidR="00822506" w:rsidRPr="00822506">
        <w:rPr>
          <w:rFonts w:asciiTheme="minorHAnsi" w:hAnsiTheme="minorHAnsi"/>
          <w:b/>
          <w:sz w:val="24"/>
          <w:highlight w:val="green"/>
        </w:rPr>
        <w:t>4</w:t>
      </w:r>
      <w:r w:rsidRPr="00822506">
        <w:rPr>
          <w:rFonts w:asciiTheme="minorHAnsi" w:hAnsiTheme="minorHAnsi"/>
          <w:b/>
          <w:sz w:val="24"/>
          <w:highlight w:val="green"/>
        </w:rPr>
        <w:t>.</w:t>
      </w:r>
    </w:p>
    <w:p w14:paraId="5CC02D55" w14:textId="41D95230" w:rsidR="00F90B96" w:rsidRPr="00FE7579" w:rsidRDefault="00F90B96" w:rsidP="00DE3A99">
      <w:pPr>
        <w:pStyle w:val="Standa1"/>
        <w:spacing w:after="120" w:line="240" w:lineRule="auto"/>
        <w:jc w:val="center"/>
        <w:rPr>
          <w:rFonts w:asciiTheme="minorHAnsi" w:hAnsiTheme="minorHAnsi" w:cs="Arial"/>
          <w:b/>
          <w:sz w:val="20"/>
          <w:szCs w:val="24"/>
        </w:rPr>
      </w:pPr>
      <w:r w:rsidRPr="00FE7579">
        <w:rPr>
          <w:rFonts w:asciiTheme="minorHAnsi" w:hAnsiTheme="minorHAnsi"/>
        </w:rPr>
        <w:t xml:space="preserve">Courriel à </w:t>
      </w:r>
      <w:r w:rsidRPr="00FE7579">
        <w:rPr>
          <w:rStyle w:val="Hyperlink"/>
          <w:rFonts w:asciiTheme="minorHAnsi" w:hAnsiTheme="minorHAnsi"/>
        </w:rPr>
        <w:t>Margit.Huber@ecml.at</w:t>
      </w:r>
    </w:p>
    <w:p w14:paraId="02F3E516" w14:textId="2D24BF4D" w:rsidR="005970F6" w:rsidRPr="00FE7579" w:rsidRDefault="005970F6" w:rsidP="005970F6">
      <w:pPr>
        <w:pStyle w:val="Listenabsatz"/>
        <w:numPr>
          <w:ilvl w:val="0"/>
          <w:numId w:val="24"/>
        </w:numPr>
        <w:spacing w:after="120" w:line="240" w:lineRule="auto"/>
        <w:rPr>
          <w:rFonts w:asciiTheme="minorHAnsi" w:hAnsiTheme="minorHAnsi"/>
          <w:sz w:val="24"/>
          <w:szCs w:val="24"/>
        </w:rPr>
      </w:pPr>
      <w:r w:rsidRPr="00FE7579">
        <w:rPr>
          <w:rFonts w:asciiTheme="minorHAnsi" w:hAnsiTheme="minorHAnsi"/>
          <w:sz w:val="24"/>
          <w:szCs w:val="24"/>
        </w:rPr>
        <w:t>Merci de compléter un formulaire par activité requise.</w:t>
      </w:r>
    </w:p>
    <w:p w14:paraId="61A82EF8" w14:textId="201629A5" w:rsidR="005970F6" w:rsidRPr="00FE7579" w:rsidRDefault="51B1FE19" w:rsidP="51B1FE19">
      <w:pPr>
        <w:pStyle w:val="Listenabsatz"/>
        <w:numPr>
          <w:ilvl w:val="0"/>
          <w:numId w:val="24"/>
        </w:numPr>
        <w:spacing w:after="120" w:line="240" w:lineRule="auto"/>
        <w:rPr>
          <w:rFonts w:asciiTheme="minorHAnsi" w:hAnsiTheme="minorHAnsi"/>
          <w:b/>
          <w:bCs/>
          <w:sz w:val="24"/>
          <w:szCs w:val="24"/>
        </w:rPr>
      </w:pPr>
      <w:r w:rsidRPr="00FE7579">
        <w:rPr>
          <w:rFonts w:asciiTheme="minorHAnsi" w:hAnsiTheme="minorHAnsi"/>
          <w:b/>
          <w:bCs/>
          <w:sz w:val="24"/>
          <w:szCs w:val="24"/>
        </w:rPr>
        <w:t>Dans la limite de 2 demandes maximum par pays.</w:t>
      </w:r>
    </w:p>
    <w:tbl>
      <w:tblPr>
        <w:tblStyle w:val="Tabellenraster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249"/>
        <w:gridCol w:w="1625"/>
        <w:gridCol w:w="1625"/>
        <w:gridCol w:w="3250"/>
      </w:tblGrid>
      <w:tr w:rsidR="00A551FE" w:rsidRPr="00FE7579" w14:paraId="41331E9A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09E21458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Pays demandeur</w:t>
            </w:r>
          </w:p>
        </w:tc>
      </w:tr>
      <w:tr w:rsidR="00A551FE" w:rsidRPr="00FE7579" w14:paraId="1EB6E049" w14:textId="77777777" w:rsidTr="51B1FE19">
        <w:tc>
          <w:tcPr>
            <w:tcW w:w="9749" w:type="dxa"/>
            <w:gridSpan w:val="4"/>
          </w:tcPr>
          <w:p w14:paraId="6129E158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</w:p>
        </w:tc>
      </w:tr>
      <w:tr w:rsidR="00A551FE" w:rsidRPr="00FE7579" w14:paraId="2D085A96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68C718E6" w14:textId="77777777" w:rsidR="0093494C" w:rsidRPr="00FE7579" w:rsidRDefault="00A551FE" w:rsidP="00C11C54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Titre de l</w:t>
            </w:r>
            <w:r w:rsidR="00980D74" w:rsidRPr="00FE7579">
              <w:rPr>
                <w:rFonts w:asciiTheme="minorHAnsi" w:hAnsiTheme="minorHAnsi"/>
                <w:b/>
                <w:sz w:val="24"/>
              </w:rPr>
              <w:t>’</w:t>
            </w:r>
            <w:r w:rsidRPr="00FE7579">
              <w:rPr>
                <w:rFonts w:asciiTheme="minorHAnsi" w:hAnsiTheme="minorHAnsi"/>
                <w:b/>
                <w:sz w:val="24"/>
              </w:rPr>
              <w:t>activité de formation et de conseil requise</w:t>
            </w:r>
          </w:p>
          <w:p w14:paraId="39131B3A" w14:textId="22B8C5A8" w:rsidR="00A551FE" w:rsidRPr="00FE7579" w:rsidRDefault="00801BD0" w:rsidP="00C11C54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</w:rPr>
              <w:t>Veuillez choisir une activité dans la liste ci-dessous</w:t>
            </w:r>
            <w:r w:rsidR="0093494C" w:rsidRPr="00FE7579">
              <w:rPr>
                <w:rFonts w:asciiTheme="minorHAnsi" w:hAnsiTheme="minorHAnsi"/>
              </w:rPr>
              <w:t>.</w:t>
            </w:r>
          </w:p>
        </w:tc>
      </w:tr>
      <w:tr w:rsidR="00A551FE" w:rsidRPr="00FE7579" w14:paraId="5E14E2D4" w14:textId="77777777" w:rsidTr="51B1FE19">
        <w:tc>
          <w:tcPr>
            <w:tcW w:w="9749" w:type="dxa"/>
            <w:gridSpan w:val="4"/>
          </w:tcPr>
          <w:p w14:paraId="3487F027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</w:p>
        </w:tc>
      </w:tr>
      <w:tr w:rsidR="00A551FE" w:rsidRPr="00FE7579" w14:paraId="059A073F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624ED6F9" w14:textId="76A8EDF2" w:rsidR="005C0EF8" w:rsidRPr="00FE7579" w:rsidRDefault="00B7276E" w:rsidP="005C0EF8">
            <w:pPr>
              <w:spacing w:before="60" w:after="60"/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Organis</w:t>
            </w:r>
            <w:r w:rsidR="00A551FE" w:rsidRPr="00FE7579">
              <w:rPr>
                <w:rFonts w:asciiTheme="minorHAnsi" w:hAnsiTheme="minorHAnsi"/>
                <w:b/>
                <w:sz w:val="24"/>
              </w:rPr>
              <w:t>at</w:t>
            </w:r>
            <w:r w:rsidR="005970F6" w:rsidRPr="00FE7579">
              <w:rPr>
                <w:rFonts w:asciiTheme="minorHAnsi" w:hAnsiTheme="minorHAnsi"/>
                <w:b/>
                <w:sz w:val="24"/>
              </w:rPr>
              <w:t>ion</w:t>
            </w:r>
            <w:r w:rsidR="00A551FE" w:rsidRPr="00FE7579">
              <w:rPr>
                <w:rFonts w:asciiTheme="minorHAnsi" w:hAnsiTheme="minorHAnsi"/>
                <w:b/>
                <w:sz w:val="24"/>
              </w:rPr>
              <w:t xml:space="preserve"> sur place </w:t>
            </w:r>
            <w:r w:rsidR="0093494C" w:rsidRPr="00FE7579">
              <w:rPr>
                <w:rFonts w:asciiTheme="minorHAnsi" w:hAnsiTheme="minorHAnsi"/>
                <w:sz w:val="20"/>
                <w:szCs w:val="20"/>
              </w:rPr>
              <w:t>Nom, institution, courriel</w:t>
            </w:r>
          </w:p>
        </w:tc>
      </w:tr>
      <w:tr w:rsidR="00A551FE" w:rsidRPr="00FE7579" w14:paraId="1078E165" w14:textId="77777777" w:rsidTr="51B1FE19">
        <w:tc>
          <w:tcPr>
            <w:tcW w:w="9749" w:type="dxa"/>
            <w:gridSpan w:val="4"/>
          </w:tcPr>
          <w:p w14:paraId="0114A7E0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</w:p>
        </w:tc>
      </w:tr>
      <w:tr w:rsidR="00816F6D" w:rsidRPr="00FE7579" w14:paraId="206D07A5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086B88D5" w14:textId="7E01F569" w:rsidR="00816F6D" w:rsidRPr="00FE7579" w:rsidRDefault="001F06A5" w:rsidP="001F06A5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 xml:space="preserve">Mois (ou date) </w:t>
            </w:r>
            <w:r w:rsidR="00423FDF" w:rsidRPr="00FE7579">
              <w:rPr>
                <w:rFonts w:asciiTheme="minorHAnsi" w:hAnsiTheme="minorHAnsi"/>
                <w:b/>
                <w:sz w:val="24"/>
              </w:rPr>
              <w:t xml:space="preserve">envisagé(e) </w:t>
            </w:r>
            <w:r w:rsidRPr="00FE7579">
              <w:rPr>
                <w:rFonts w:asciiTheme="minorHAnsi" w:hAnsiTheme="minorHAnsi"/>
                <w:b/>
                <w:sz w:val="24"/>
              </w:rPr>
              <w:t>pour l</w:t>
            </w:r>
            <w:r w:rsidR="00980D74" w:rsidRPr="00FE7579">
              <w:rPr>
                <w:rFonts w:asciiTheme="minorHAnsi" w:hAnsiTheme="minorHAnsi"/>
                <w:b/>
                <w:sz w:val="24"/>
              </w:rPr>
              <w:t>’</w:t>
            </w:r>
            <w:r w:rsidR="00935016" w:rsidRPr="00FE7579">
              <w:rPr>
                <w:rFonts w:asciiTheme="minorHAnsi" w:hAnsiTheme="minorHAnsi"/>
                <w:b/>
                <w:sz w:val="24"/>
              </w:rPr>
              <w:t>activité</w:t>
            </w:r>
          </w:p>
        </w:tc>
      </w:tr>
      <w:tr w:rsidR="00816F6D" w:rsidRPr="00FE7579" w14:paraId="33C6F5AD" w14:textId="77777777" w:rsidTr="51B1FE19">
        <w:tc>
          <w:tcPr>
            <w:tcW w:w="9749" w:type="dxa"/>
            <w:gridSpan w:val="4"/>
          </w:tcPr>
          <w:p w14:paraId="11CAFFE0" w14:textId="77777777" w:rsidR="00816F6D" w:rsidRPr="00FE7579" w:rsidRDefault="00816F6D" w:rsidP="00656D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F06A5" w:rsidRPr="00FE7579" w14:paraId="2F5FE04F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0D91D9DE" w14:textId="2DEF4CAD" w:rsidR="001F06A5" w:rsidRPr="00FE7579" w:rsidRDefault="001F06A5" w:rsidP="00656D80">
            <w:pPr>
              <w:spacing w:before="60" w:after="60"/>
              <w:rPr>
                <w:b/>
                <w:sz w:val="24"/>
                <w:szCs w:val="24"/>
              </w:rPr>
            </w:pPr>
            <w:r w:rsidRPr="00FE7579">
              <w:rPr>
                <w:b/>
                <w:sz w:val="24"/>
                <w:szCs w:val="24"/>
              </w:rPr>
              <w:t>Contribution</w:t>
            </w:r>
            <w:r w:rsidR="00B7276E" w:rsidRPr="00FE7579">
              <w:rPr>
                <w:b/>
                <w:sz w:val="24"/>
                <w:szCs w:val="24"/>
              </w:rPr>
              <w:t xml:space="preserve"> envisagée</w:t>
            </w:r>
            <w:r w:rsidR="00935016" w:rsidRPr="00FE7579">
              <w:rPr>
                <w:b/>
                <w:sz w:val="24"/>
                <w:szCs w:val="24"/>
              </w:rPr>
              <w:t xml:space="preserve"> du CELV</w:t>
            </w:r>
          </w:p>
        </w:tc>
      </w:tr>
      <w:tr w:rsidR="005970F6" w:rsidRPr="00FE7579" w14:paraId="33C71F02" w14:textId="77777777" w:rsidTr="51B1FE19">
        <w:tc>
          <w:tcPr>
            <w:tcW w:w="4874" w:type="dxa"/>
            <w:gridSpan w:val="2"/>
          </w:tcPr>
          <w:p w14:paraId="119BF552" w14:textId="2AB65FCB" w:rsidR="005970F6" w:rsidRPr="00FE7579" w:rsidRDefault="005970F6" w:rsidP="005970F6">
            <w:pPr>
              <w:spacing w:before="60" w:after="60"/>
              <w:ind w:left="318" w:hanging="284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FE7579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Atelier/séminaire </w:t>
            </w:r>
            <w:r w:rsidRPr="00FE7579">
              <w:rPr>
                <w:rFonts w:asciiTheme="minorHAnsi" w:hAnsiTheme="minorHAnsi" w:cs="Arial"/>
                <w:sz w:val="20"/>
                <w:szCs w:val="24"/>
                <w:lang w:val="pl-PL"/>
              </w:rPr>
              <w:br/>
              <w:t>(nombre minimum de participant</w:t>
            </w:r>
            <w:r w:rsidR="00EB2392">
              <w:rPr>
                <w:rFonts w:asciiTheme="minorHAnsi" w:hAnsiTheme="minorHAnsi" w:cs="Arial"/>
                <w:sz w:val="20"/>
                <w:szCs w:val="24"/>
                <w:lang w:val="pl-PL"/>
              </w:rPr>
              <w:t>·e</w:t>
            </w:r>
            <w:r w:rsidRPr="00FE7579">
              <w:rPr>
                <w:rFonts w:asciiTheme="minorHAnsi" w:hAnsiTheme="minorHAnsi" w:cs="Arial"/>
                <w:sz w:val="20"/>
                <w:szCs w:val="24"/>
                <w:lang w:val="pl-PL"/>
              </w:rPr>
              <w:t>s : 20)</w:t>
            </w:r>
          </w:p>
        </w:tc>
        <w:tc>
          <w:tcPr>
            <w:tcW w:w="4875" w:type="dxa"/>
            <w:gridSpan w:val="2"/>
          </w:tcPr>
          <w:p w14:paraId="0C2CF531" w14:textId="6FAA2AFF" w:rsidR="005970F6" w:rsidRPr="00FE7579" w:rsidRDefault="005970F6" w:rsidP="005970F6">
            <w:pPr>
              <w:spacing w:before="60" w:after="60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="Webdings" w:hAnsi="Webdings" w:cs="Arial"/>
                <w:sz w:val="20"/>
                <w:szCs w:val="24"/>
                <w:lang w:val="pl-PL"/>
              </w:rPr>
              <w:t>c</w:t>
            </w:r>
            <w:r w:rsidRPr="00FE7579">
              <w:rPr>
                <w:rFonts w:asciiTheme="minorHAnsi" w:hAnsiTheme="minorHAnsi" w:cs="Arial"/>
                <w:sz w:val="20"/>
                <w:szCs w:val="24"/>
                <w:lang w:val="pl-PL"/>
              </w:rPr>
              <w:t xml:space="preserve">  Conseil pour un groupe d’expert</w:t>
            </w:r>
            <w:r w:rsidR="00EB2392">
              <w:rPr>
                <w:rFonts w:asciiTheme="minorHAnsi" w:hAnsiTheme="minorHAnsi" w:cs="Arial"/>
                <w:sz w:val="20"/>
                <w:szCs w:val="24"/>
                <w:lang w:val="pl-PL"/>
              </w:rPr>
              <w:t>·e</w:t>
            </w:r>
            <w:r w:rsidRPr="00FE7579">
              <w:rPr>
                <w:rFonts w:asciiTheme="minorHAnsi" w:hAnsiTheme="minorHAnsi" w:cs="Arial"/>
                <w:sz w:val="20"/>
                <w:szCs w:val="24"/>
                <w:lang w:val="pl-PL"/>
              </w:rPr>
              <w:t>s</w:t>
            </w:r>
          </w:p>
        </w:tc>
      </w:tr>
      <w:tr w:rsidR="001F06A5" w:rsidRPr="00FE7579" w14:paraId="2DEA044A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78FD7121" w14:textId="6663494D" w:rsidR="001F06A5" w:rsidRPr="00FE7579" w:rsidRDefault="001F06A5" w:rsidP="00656D80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 xml:space="preserve">Profil professionnel des </w:t>
            </w:r>
            <w:proofErr w:type="spellStart"/>
            <w:r w:rsidRPr="00FE7579">
              <w:rPr>
                <w:rFonts w:asciiTheme="minorHAnsi" w:hAnsiTheme="minorHAnsi"/>
                <w:b/>
                <w:sz w:val="24"/>
              </w:rPr>
              <w:t>participant</w:t>
            </w:r>
            <w:r w:rsidR="00EB2392">
              <w:rPr>
                <w:rFonts w:asciiTheme="minorHAnsi" w:hAnsiTheme="minorHAnsi"/>
                <w:b/>
                <w:sz w:val="24"/>
              </w:rPr>
              <w:t>·e</w:t>
            </w:r>
            <w:r w:rsidRPr="00FE7579">
              <w:rPr>
                <w:rFonts w:asciiTheme="minorHAnsi" w:hAnsiTheme="minorHAnsi"/>
                <w:b/>
                <w:sz w:val="24"/>
              </w:rPr>
              <w:t>s</w:t>
            </w:r>
            <w:proofErr w:type="spellEnd"/>
            <w:r w:rsidRPr="00FE7579"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 w:rsidRPr="00FE7579">
              <w:rPr>
                <w:rFonts w:asciiTheme="minorHAnsi" w:hAnsiTheme="minorHAnsi"/>
                <w:b/>
                <w:sz w:val="24"/>
              </w:rPr>
              <w:t>ciblé</w:t>
            </w:r>
            <w:r w:rsidR="00EB2392">
              <w:rPr>
                <w:rFonts w:asciiTheme="minorHAnsi" w:hAnsiTheme="minorHAnsi"/>
                <w:b/>
                <w:sz w:val="24"/>
              </w:rPr>
              <w:t>·e</w:t>
            </w:r>
            <w:r w:rsidRPr="00FE7579">
              <w:rPr>
                <w:rFonts w:asciiTheme="minorHAnsi" w:hAnsiTheme="minorHAnsi"/>
                <w:b/>
                <w:sz w:val="24"/>
              </w:rPr>
              <w:t>s</w:t>
            </w:r>
            <w:proofErr w:type="spellEnd"/>
            <w:r w:rsidRPr="00FE7579">
              <w:rPr>
                <w:rFonts w:asciiTheme="minorHAnsi" w:hAnsiTheme="minorHAnsi"/>
                <w:b/>
                <w:sz w:val="24"/>
              </w:rPr>
              <w:t xml:space="preserve"> et nombre attendu</w:t>
            </w:r>
          </w:p>
        </w:tc>
      </w:tr>
      <w:tr w:rsidR="001F06A5" w:rsidRPr="00FE7579" w14:paraId="493B17C8" w14:textId="77777777" w:rsidTr="51B1FE19">
        <w:tc>
          <w:tcPr>
            <w:tcW w:w="9749" w:type="dxa"/>
            <w:gridSpan w:val="4"/>
          </w:tcPr>
          <w:p w14:paraId="05B343C2" w14:textId="0F3AFD5C" w:rsidR="00461398" w:rsidRPr="00FE7579" w:rsidRDefault="00461398" w:rsidP="00656D80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B687D" w:rsidRPr="00FE7579" w14:paraId="2ADE8F03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6C699DFB" w14:textId="3B53E356" w:rsidR="005B687D" w:rsidRPr="00FE7579" w:rsidRDefault="005B687D" w:rsidP="00F44082">
            <w:pPr>
              <w:rPr>
                <w:rFonts w:asciiTheme="minorHAnsi" w:hAnsiTheme="minorHAnsi"/>
              </w:rPr>
            </w:pPr>
            <w:bookmarkStart w:id="0" w:name="_Hlk63071513"/>
            <w:r w:rsidRPr="00FE7579">
              <w:rPr>
                <w:rFonts w:asciiTheme="minorHAnsi" w:hAnsiTheme="minorHAnsi"/>
                <w:b/>
                <w:sz w:val="24"/>
              </w:rPr>
              <w:t xml:space="preserve">Format envisagé de l’activité </w:t>
            </w:r>
            <w:r w:rsidR="00423FDF" w:rsidRPr="00FE7579">
              <w:rPr>
                <w:rFonts w:asciiTheme="minorHAnsi" w:hAnsiTheme="minorHAnsi"/>
                <w:b/>
                <w:sz w:val="24"/>
              </w:rPr>
              <w:t>(veuillez sélectionner une option)</w:t>
            </w:r>
          </w:p>
        </w:tc>
      </w:tr>
      <w:tr w:rsidR="005B687D" w:rsidRPr="00FE7579" w14:paraId="0C8B1997" w14:textId="77777777" w:rsidTr="51B1FE19">
        <w:tc>
          <w:tcPr>
            <w:tcW w:w="3249" w:type="dxa"/>
          </w:tcPr>
          <w:p w14:paraId="5E56BADD" w14:textId="36CC23EF" w:rsidR="005B687D" w:rsidRPr="00FE7579" w:rsidRDefault="005B687D" w:rsidP="005B687D">
            <w:pPr>
              <w:rPr>
                <w:rFonts w:asciiTheme="minorHAnsi" w:hAnsiTheme="minorHAnsi"/>
              </w:rPr>
            </w:pPr>
            <w:r w:rsidRPr="00FE7579">
              <w:rPr>
                <w:rFonts w:ascii="Webdings" w:hAnsi="Webdings" w:cs="Arial"/>
                <w:sz w:val="20"/>
                <w:szCs w:val="24"/>
                <w:lang w:val="pl-PL"/>
              </w:rPr>
              <w:t xml:space="preserve">c </w:t>
            </w:r>
            <w:r w:rsidR="002A57C2" w:rsidRPr="00FE7579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En</w:t>
            </w:r>
            <w:r w:rsidR="00423FDF" w:rsidRPr="00FE7579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>tièrement en</w:t>
            </w:r>
            <w:r w:rsidR="002A57C2" w:rsidRPr="00FE7579">
              <w:rPr>
                <w:rFonts w:asciiTheme="minorHAnsi" w:hAnsiTheme="minorHAnsi" w:cstheme="minorHAnsi"/>
                <w:sz w:val="20"/>
                <w:szCs w:val="24"/>
                <w:lang w:val="pl-PL"/>
              </w:rPr>
              <w:t xml:space="preserve"> ligne</w:t>
            </w:r>
          </w:p>
        </w:tc>
        <w:tc>
          <w:tcPr>
            <w:tcW w:w="3250" w:type="dxa"/>
            <w:gridSpan w:val="2"/>
          </w:tcPr>
          <w:p w14:paraId="404B8973" w14:textId="323A4442" w:rsidR="005B687D" w:rsidRPr="00FE7579" w:rsidRDefault="51B1FE19" w:rsidP="51B1FE19">
            <w:pPr>
              <w:rPr>
                <w:rFonts w:asciiTheme="minorHAnsi" w:hAnsiTheme="minorHAnsi" w:cstheme="minorBidi"/>
                <w:sz w:val="20"/>
                <w:szCs w:val="20"/>
                <w:lang w:val="pl-PL"/>
              </w:rPr>
            </w:pPr>
            <w:r w:rsidRPr="00FE7579">
              <w:rPr>
                <w:rFonts w:ascii="Webdings" w:hAnsi="Webdings" w:cs="Arial"/>
                <w:sz w:val="20"/>
                <w:szCs w:val="20"/>
                <w:lang w:val="pl-PL"/>
              </w:rPr>
              <w:t xml:space="preserve">c </w:t>
            </w:r>
            <w:r w:rsidRPr="00FE7579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Une activité en face à face de 2</w:t>
            </w:r>
            <w:r w:rsidR="00954FAA" w:rsidRPr="00FE7579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 </w:t>
            </w:r>
            <w:r w:rsidRPr="00FE7579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 xml:space="preserve">jours dans un lieu déterminé de </w:t>
            </w:r>
            <w:r w:rsidR="00FF38B2" w:rsidRPr="00FE7579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v</w:t>
            </w:r>
            <w:r w:rsidRPr="00FE7579">
              <w:rPr>
                <w:rFonts w:asciiTheme="minorHAnsi" w:hAnsiTheme="minorHAnsi" w:cstheme="minorBidi"/>
                <w:sz w:val="20"/>
                <w:szCs w:val="20"/>
                <w:lang w:val="pl-PL"/>
              </w:rPr>
              <w:t>otre pays</w:t>
            </w:r>
          </w:p>
        </w:tc>
        <w:tc>
          <w:tcPr>
            <w:tcW w:w="3250" w:type="dxa"/>
          </w:tcPr>
          <w:p w14:paraId="37211E10" w14:textId="1FECAF68" w:rsidR="005B687D" w:rsidRPr="00FE7579" w:rsidRDefault="51B1FE19" w:rsidP="51B1FE19">
            <w:pPr>
              <w:rPr>
                <w:rFonts w:asciiTheme="minorHAnsi" w:hAnsiTheme="minorHAnsi"/>
              </w:rPr>
            </w:pPr>
            <w:r w:rsidRPr="00FE7579">
              <w:rPr>
                <w:rFonts w:ascii="Webdings" w:hAnsi="Webdings" w:cs="Arial"/>
                <w:sz w:val="20"/>
                <w:szCs w:val="20"/>
                <w:lang w:val="pl-PL"/>
              </w:rPr>
              <w:t>c</w:t>
            </w:r>
            <w:r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 Une activité hybride de 2</w:t>
            </w:r>
            <w:r w:rsidR="00954FAA"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> </w:t>
            </w:r>
            <w:r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>jours avec intervention des expert</w:t>
            </w:r>
            <w:r w:rsidR="00EB2392">
              <w:rPr>
                <w:rFonts w:asciiTheme="minorHAnsi" w:hAnsiTheme="minorHAnsi" w:cs="Arial"/>
                <w:sz w:val="20"/>
                <w:szCs w:val="20"/>
                <w:lang w:val="pl-PL"/>
              </w:rPr>
              <w:t>·e</w:t>
            </w:r>
            <w:r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>s en ligne pour les participant</w:t>
            </w:r>
            <w:r w:rsidR="00EB2392">
              <w:rPr>
                <w:rFonts w:asciiTheme="minorHAnsi" w:hAnsiTheme="minorHAnsi" w:cs="Arial"/>
                <w:sz w:val="20"/>
                <w:szCs w:val="20"/>
                <w:lang w:val="pl-PL"/>
              </w:rPr>
              <w:t>·e</w:t>
            </w:r>
            <w:r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 xml:space="preserve">s dans un lieu de </w:t>
            </w:r>
            <w:r w:rsidR="00FF38B2"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>v</w:t>
            </w:r>
            <w:r w:rsidRPr="00FE7579">
              <w:rPr>
                <w:rFonts w:asciiTheme="minorHAnsi" w:hAnsiTheme="minorHAnsi" w:cs="Arial"/>
                <w:sz w:val="20"/>
                <w:szCs w:val="20"/>
                <w:lang w:val="pl-PL"/>
              </w:rPr>
              <w:t>otre pays</w:t>
            </w:r>
          </w:p>
        </w:tc>
      </w:tr>
      <w:tr w:rsidR="005B687D" w:rsidRPr="00FE7579" w14:paraId="1EAFE200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7B0C373C" w14:textId="77777777" w:rsidR="005B687D" w:rsidRPr="00FE7579" w:rsidRDefault="005B687D" w:rsidP="005B687D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lastRenderedPageBreak/>
              <w:t xml:space="preserve">Langue(s) de travail de l’activité </w:t>
            </w:r>
          </w:p>
        </w:tc>
      </w:tr>
      <w:tr w:rsidR="005B687D" w:rsidRPr="00FE7579" w14:paraId="61631170" w14:textId="77777777" w:rsidTr="51B1FE19">
        <w:tc>
          <w:tcPr>
            <w:tcW w:w="9749" w:type="dxa"/>
            <w:gridSpan w:val="4"/>
          </w:tcPr>
          <w:p w14:paraId="5C7DCE60" w14:textId="77777777" w:rsidR="005B687D" w:rsidRPr="00FE7579" w:rsidRDefault="005B687D" w:rsidP="005B687D">
            <w:pPr>
              <w:rPr>
                <w:rFonts w:asciiTheme="minorHAnsi" w:hAnsiTheme="minorHAnsi"/>
              </w:rPr>
            </w:pPr>
          </w:p>
        </w:tc>
      </w:tr>
      <w:bookmarkEnd w:id="0"/>
      <w:tr w:rsidR="00A551FE" w:rsidRPr="00FE7579" w14:paraId="686FE9D3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284B516B" w14:textId="6FD1A067" w:rsidR="00A551FE" w:rsidRPr="00FE7579" w:rsidRDefault="00755E8D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br w:type="page"/>
            </w:r>
            <w:r w:rsidR="00A551FE" w:rsidRPr="00FE7579">
              <w:rPr>
                <w:rFonts w:asciiTheme="minorHAnsi" w:hAnsiTheme="minorHAnsi"/>
                <w:b/>
                <w:sz w:val="24"/>
              </w:rPr>
              <w:t>Pourquoi cette activité est pertinente dans mon pays</w:t>
            </w:r>
          </w:p>
          <w:p w14:paraId="6C7F3DBA" w14:textId="09EA773C" w:rsidR="00A551FE" w:rsidRPr="00FE7579" w:rsidRDefault="00A551FE" w:rsidP="00A551FE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</w:rPr>
              <w:t>Informations sur le contexte dans votre pays, par exemple les enjeux et besoins spécifiques, l</w:t>
            </w:r>
            <w:r w:rsidR="00980D74" w:rsidRPr="00FE7579">
              <w:rPr>
                <w:rFonts w:asciiTheme="minorHAnsi" w:hAnsiTheme="minorHAnsi"/>
              </w:rPr>
              <w:t>’</w:t>
            </w:r>
            <w:r w:rsidRPr="00FE7579">
              <w:rPr>
                <w:rFonts w:asciiTheme="minorHAnsi" w:hAnsiTheme="minorHAnsi"/>
              </w:rPr>
              <w:t xml:space="preserve">évolution des politiques, la formation des </w:t>
            </w:r>
            <w:proofErr w:type="spellStart"/>
            <w:r w:rsidRPr="00FE7579">
              <w:rPr>
                <w:rFonts w:asciiTheme="minorHAnsi" w:hAnsiTheme="minorHAnsi"/>
              </w:rPr>
              <w:t>enseignant</w:t>
            </w:r>
            <w:r w:rsidR="00EB2392">
              <w:rPr>
                <w:rFonts w:asciiTheme="minorHAnsi" w:hAnsiTheme="minorHAnsi"/>
              </w:rPr>
              <w:t>·e</w:t>
            </w:r>
            <w:r w:rsidRPr="00FE7579">
              <w:rPr>
                <w:rFonts w:asciiTheme="minorHAnsi" w:hAnsiTheme="minorHAnsi"/>
              </w:rPr>
              <w:t>s</w:t>
            </w:r>
            <w:proofErr w:type="spellEnd"/>
            <w:r w:rsidRPr="00FE7579">
              <w:rPr>
                <w:rFonts w:asciiTheme="minorHAnsi" w:hAnsiTheme="minorHAnsi"/>
              </w:rPr>
              <w:t xml:space="preserve"> dans ce domaine d</w:t>
            </w:r>
            <w:r w:rsidR="00980D74" w:rsidRPr="00FE7579">
              <w:rPr>
                <w:rFonts w:asciiTheme="minorHAnsi" w:hAnsiTheme="minorHAnsi"/>
              </w:rPr>
              <w:t>’</w:t>
            </w:r>
            <w:r w:rsidRPr="00FE7579">
              <w:rPr>
                <w:rFonts w:asciiTheme="minorHAnsi" w:hAnsiTheme="minorHAnsi"/>
              </w:rPr>
              <w:t>activité</w:t>
            </w:r>
          </w:p>
        </w:tc>
      </w:tr>
      <w:tr w:rsidR="00A551FE" w:rsidRPr="00FE7579" w14:paraId="72FDF84A" w14:textId="77777777" w:rsidTr="51B1FE19">
        <w:tc>
          <w:tcPr>
            <w:tcW w:w="9749" w:type="dxa"/>
            <w:gridSpan w:val="4"/>
          </w:tcPr>
          <w:p w14:paraId="0E6C893C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74D98781" w14:textId="77777777" w:rsidR="00461398" w:rsidRPr="00FE7579" w:rsidRDefault="00461398" w:rsidP="00C11C54">
            <w:pPr>
              <w:rPr>
                <w:rFonts w:asciiTheme="minorHAnsi" w:hAnsiTheme="minorHAnsi"/>
              </w:rPr>
            </w:pPr>
          </w:p>
          <w:p w14:paraId="58304F5B" w14:textId="77777777" w:rsidR="00461398" w:rsidRPr="00FE7579" w:rsidRDefault="00461398" w:rsidP="00C11C54">
            <w:pPr>
              <w:rPr>
                <w:rFonts w:asciiTheme="minorHAnsi" w:hAnsiTheme="minorHAnsi"/>
              </w:rPr>
            </w:pPr>
          </w:p>
          <w:p w14:paraId="50613AB0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3D15499B" w14:textId="77777777" w:rsidR="00067C9A" w:rsidRPr="00FE7579" w:rsidRDefault="00067C9A" w:rsidP="00C11C54">
            <w:pPr>
              <w:rPr>
                <w:rFonts w:asciiTheme="minorHAnsi" w:hAnsiTheme="minorHAnsi"/>
              </w:rPr>
            </w:pPr>
          </w:p>
          <w:p w14:paraId="74B586B6" w14:textId="77777777" w:rsidR="00067C9A" w:rsidRPr="00FE7579" w:rsidRDefault="00067C9A" w:rsidP="00C11C54">
            <w:pPr>
              <w:rPr>
                <w:rFonts w:asciiTheme="minorHAnsi" w:hAnsiTheme="minorHAnsi"/>
              </w:rPr>
            </w:pPr>
          </w:p>
        </w:tc>
      </w:tr>
      <w:tr w:rsidR="00A551FE" w:rsidRPr="00FE7579" w14:paraId="62688BD1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142B189C" w14:textId="342D2CD2" w:rsidR="00A551FE" w:rsidRPr="00FE7579" w:rsidRDefault="00816F6D" w:rsidP="00816F6D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Quels sont les résultats et les réalisations prévus</w:t>
            </w:r>
            <w:r w:rsidR="000A3487" w:rsidRPr="00FE7579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FE7579">
              <w:rPr>
                <w:rFonts w:asciiTheme="minorHAnsi" w:hAnsiTheme="minorHAnsi"/>
                <w:b/>
                <w:sz w:val="24"/>
              </w:rPr>
              <w:t>?</w:t>
            </w:r>
          </w:p>
          <w:p w14:paraId="545BD789" w14:textId="54C6DB65" w:rsidR="00816F6D" w:rsidRPr="00FE7579" w:rsidRDefault="00816F6D" w:rsidP="00F84B28">
            <w:pPr>
              <w:rPr>
                <w:rFonts w:asciiTheme="minorHAnsi" w:hAnsiTheme="minorHAnsi"/>
              </w:rPr>
            </w:pPr>
            <w:r w:rsidRPr="00FE7579">
              <w:rPr>
                <w:rFonts w:asciiTheme="minorHAnsi" w:hAnsiTheme="minorHAnsi"/>
              </w:rPr>
              <w:t xml:space="preserve">Ce que les </w:t>
            </w:r>
            <w:proofErr w:type="spellStart"/>
            <w:r w:rsidRPr="00FE7579">
              <w:rPr>
                <w:rFonts w:asciiTheme="minorHAnsi" w:hAnsiTheme="minorHAnsi"/>
              </w:rPr>
              <w:t>participant</w:t>
            </w:r>
            <w:r w:rsidR="00EB2392">
              <w:rPr>
                <w:rFonts w:asciiTheme="minorHAnsi" w:hAnsiTheme="minorHAnsi"/>
              </w:rPr>
              <w:t>·e</w:t>
            </w:r>
            <w:r w:rsidRPr="00FE7579">
              <w:rPr>
                <w:rFonts w:asciiTheme="minorHAnsi" w:hAnsiTheme="minorHAnsi"/>
              </w:rPr>
              <w:t>s</w:t>
            </w:r>
            <w:proofErr w:type="spellEnd"/>
            <w:r w:rsidRPr="00FE7579">
              <w:rPr>
                <w:rFonts w:asciiTheme="minorHAnsi" w:hAnsiTheme="minorHAnsi"/>
              </w:rPr>
              <w:t xml:space="preserve"> devraient apprendre, être en mesure de faire ou d</w:t>
            </w:r>
            <w:r w:rsidR="00980D74" w:rsidRPr="00FE7579">
              <w:rPr>
                <w:rFonts w:asciiTheme="minorHAnsi" w:hAnsiTheme="minorHAnsi"/>
              </w:rPr>
              <w:t>’</w:t>
            </w:r>
            <w:r w:rsidRPr="00FE7579">
              <w:rPr>
                <w:rFonts w:asciiTheme="minorHAnsi" w:hAnsiTheme="minorHAnsi"/>
              </w:rPr>
              <w:t>utiliser à l</w:t>
            </w:r>
            <w:r w:rsidR="00980D74" w:rsidRPr="00FE7579">
              <w:rPr>
                <w:rFonts w:asciiTheme="minorHAnsi" w:hAnsiTheme="minorHAnsi"/>
              </w:rPr>
              <w:t>’</w:t>
            </w:r>
            <w:r w:rsidRPr="00FE7579">
              <w:rPr>
                <w:rFonts w:asciiTheme="minorHAnsi" w:hAnsiTheme="minorHAnsi"/>
              </w:rPr>
              <w:t>issue de l</w:t>
            </w:r>
            <w:r w:rsidR="00980D74" w:rsidRPr="00FE7579">
              <w:rPr>
                <w:rFonts w:asciiTheme="minorHAnsi" w:hAnsiTheme="minorHAnsi"/>
              </w:rPr>
              <w:t>’</w:t>
            </w:r>
            <w:r w:rsidRPr="00FE7579">
              <w:rPr>
                <w:rFonts w:asciiTheme="minorHAnsi" w:hAnsiTheme="minorHAnsi"/>
              </w:rPr>
              <w:t>activité</w:t>
            </w:r>
            <w:r w:rsidR="000A3487" w:rsidRPr="00FE7579">
              <w:rPr>
                <w:rFonts w:asciiTheme="minorHAnsi" w:hAnsiTheme="minorHAnsi"/>
              </w:rPr>
              <w:t xml:space="preserve"> </w:t>
            </w:r>
            <w:r w:rsidRPr="00FE7579">
              <w:rPr>
                <w:rFonts w:asciiTheme="minorHAnsi" w:hAnsiTheme="minorHAnsi"/>
              </w:rPr>
              <w:t>; du matériel pédagogique devra-t-il être produit, réexaminé, adapté, etc.</w:t>
            </w:r>
            <w:r w:rsidR="000A3487" w:rsidRPr="00FE7579">
              <w:rPr>
                <w:rFonts w:asciiTheme="minorHAnsi" w:hAnsiTheme="minorHAnsi"/>
              </w:rPr>
              <w:t xml:space="preserve"> </w:t>
            </w:r>
            <w:r w:rsidRPr="00FE7579">
              <w:rPr>
                <w:rFonts w:asciiTheme="minorHAnsi" w:hAnsiTheme="minorHAnsi"/>
              </w:rPr>
              <w:t>?</w:t>
            </w:r>
          </w:p>
        </w:tc>
      </w:tr>
      <w:tr w:rsidR="00A551FE" w:rsidRPr="00FE7579" w14:paraId="6AB8EF6F" w14:textId="77777777" w:rsidTr="51B1FE19">
        <w:tc>
          <w:tcPr>
            <w:tcW w:w="9749" w:type="dxa"/>
            <w:gridSpan w:val="4"/>
          </w:tcPr>
          <w:p w14:paraId="5FC8C417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</w:p>
          <w:p w14:paraId="3417872A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05A923D0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44CF95F7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</w:tc>
      </w:tr>
      <w:tr w:rsidR="00A551FE" w:rsidRPr="00FE7579" w14:paraId="7A64A997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53C652D5" w14:textId="77777777" w:rsidR="00F84B28" w:rsidRPr="00FE7579" w:rsidRDefault="007661E1" w:rsidP="00F84B28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Qu</w:t>
            </w:r>
            <w:r w:rsidR="00980D74" w:rsidRPr="00FE7579">
              <w:rPr>
                <w:rFonts w:asciiTheme="minorHAnsi" w:hAnsiTheme="minorHAnsi"/>
                <w:b/>
                <w:sz w:val="24"/>
              </w:rPr>
              <w:t>’</w:t>
            </w:r>
            <w:r w:rsidRPr="00FE7579">
              <w:rPr>
                <w:rFonts w:asciiTheme="minorHAnsi" w:hAnsiTheme="minorHAnsi"/>
                <w:b/>
                <w:sz w:val="24"/>
              </w:rPr>
              <w:t xml:space="preserve">espérez-vous en </w:t>
            </w:r>
            <w:r w:rsidR="00457BF3" w:rsidRPr="00FE7579">
              <w:rPr>
                <w:rFonts w:asciiTheme="minorHAnsi" w:hAnsiTheme="minorHAnsi"/>
                <w:b/>
                <w:sz w:val="24"/>
              </w:rPr>
              <w:t>termes d’impact</w:t>
            </w:r>
            <w:r w:rsidRPr="00FE7579">
              <w:rPr>
                <w:rFonts w:asciiTheme="minorHAnsi" w:hAnsiTheme="minorHAnsi"/>
                <w:b/>
                <w:sz w:val="24"/>
              </w:rPr>
              <w:t xml:space="preserve"> à plus long terme ?</w:t>
            </w:r>
          </w:p>
        </w:tc>
      </w:tr>
      <w:tr w:rsidR="00A551FE" w:rsidRPr="00FE7579" w14:paraId="2C58C39F" w14:textId="77777777" w:rsidTr="51B1FE19">
        <w:tc>
          <w:tcPr>
            <w:tcW w:w="9749" w:type="dxa"/>
            <w:gridSpan w:val="4"/>
          </w:tcPr>
          <w:p w14:paraId="02CAFB7F" w14:textId="77777777" w:rsidR="00A551FE" w:rsidRPr="00FE7579" w:rsidRDefault="00A551FE" w:rsidP="00C11C54">
            <w:pPr>
              <w:rPr>
                <w:rFonts w:asciiTheme="minorHAnsi" w:hAnsiTheme="minorHAnsi"/>
              </w:rPr>
            </w:pPr>
          </w:p>
          <w:p w14:paraId="401EF182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7E23CECF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  <w:p w14:paraId="3EC1D016" w14:textId="77777777" w:rsidR="00F30683" w:rsidRPr="00FE7579" w:rsidRDefault="00F30683" w:rsidP="00C11C54">
            <w:pPr>
              <w:rPr>
                <w:rFonts w:asciiTheme="minorHAnsi" w:hAnsiTheme="minorHAnsi"/>
              </w:rPr>
            </w:pPr>
          </w:p>
        </w:tc>
      </w:tr>
      <w:tr w:rsidR="00A551FE" w:rsidRPr="00FE7579" w14:paraId="3B40ADFF" w14:textId="77777777" w:rsidTr="51B1FE19">
        <w:tc>
          <w:tcPr>
            <w:tcW w:w="9749" w:type="dxa"/>
            <w:gridSpan w:val="4"/>
            <w:shd w:val="clear" w:color="auto" w:fill="D9D9D9" w:themeFill="background1" w:themeFillShade="D9"/>
          </w:tcPr>
          <w:p w14:paraId="64556641" w14:textId="77777777" w:rsidR="00A551FE" w:rsidRPr="00FE7579" w:rsidRDefault="007661E1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FE7579">
              <w:rPr>
                <w:rFonts w:asciiTheme="minorHAnsi" w:hAnsiTheme="minorHAnsi"/>
                <w:b/>
                <w:sz w:val="24"/>
              </w:rPr>
              <w:t>Nom du membre du Comité de direction du CELV</w:t>
            </w:r>
            <w:r w:rsidR="00A445ED" w:rsidRPr="00FE7579">
              <w:rPr>
                <w:rFonts w:asciiTheme="minorHAnsi" w:hAnsiTheme="minorHAnsi"/>
                <w:b/>
                <w:sz w:val="24"/>
              </w:rPr>
              <w:t xml:space="preserve"> effectuant la demande</w:t>
            </w:r>
          </w:p>
        </w:tc>
      </w:tr>
      <w:tr w:rsidR="00A551FE" w:rsidRPr="00FE7579" w14:paraId="66A4407C" w14:textId="77777777" w:rsidTr="51B1FE19">
        <w:tc>
          <w:tcPr>
            <w:tcW w:w="9749" w:type="dxa"/>
            <w:gridSpan w:val="4"/>
          </w:tcPr>
          <w:p w14:paraId="3B5FD612" w14:textId="77777777" w:rsidR="00A551FE" w:rsidRPr="00FE7579" w:rsidRDefault="00A551FE" w:rsidP="00A551FE">
            <w:pPr>
              <w:spacing w:before="60" w:after="6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64ACDFB" w14:textId="77777777" w:rsidR="00A551FE" w:rsidRPr="00FE7579" w:rsidRDefault="00A551FE" w:rsidP="00C11C54"/>
    <w:p w14:paraId="3ECCF678" w14:textId="77777777" w:rsidR="00A551FE" w:rsidRPr="00FE7579" w:rsidRDefault="00A551FE" w:rsidP="00A551FE">
      <w:pPr>
        <w:suppressAutoHyphens w:val="0"/>
        <w:autoSpaceDN/>
        <w:spacing w:after="200" w:line="276" w:lineRule="auto"/>
        <w:textAlignment w:val="auto"/>
      </w:pPr>
      <w:r w:rsidRPr="00FE7579">
        <w:t>Pour toutes questions relatives à l</w:t>
      </w:r>
      <w:r w:rsidR="00980D74" w:rsidRPr="00FE7579">
        <w:t>’</w:t>
      </w:r>
      <w:r w:rsidRPr="00FE7579">
        <w:t>organisation, merci de contacter Margit Huber (</w:t>
      </w:r>
      <w:r w:rsidRPr="00FE7579">
        <w:rPr>
          <w:rStyle w:val="Hyperlink"/>
          <w:rFonts w:cstheme="minorHAnsi"/>
        </w:rPr>
        <w:t>margit.huber@ecml.at</w:t>
      </w:r>
      <w:r w:rsidRPr="00FE7579">
        <w:t>) au CELV.</w:t>
      </w:r>
    </w:p>
    <w:p w14:paraId="58181CBA" w14:textId="77777777" w:rsidR="00F90B96" w:rsidRPr="00FE7579" w:rsidRDefault="00F90B96" w:rsidP="00A551FE">
      <w:pPr>
        <w:suppressAutoHyphens w:val="0"/>
        <w:autoSpaceDN/>
        <w:spacing w:after="200" w:line="276" w:lineRule="auto"/>
        <w:textAlignment w:val="auto"/>
      </w:pPr>
    </w:p>
    <w:p w14:paraId="3013022F" w14:textId="77777777" w:rsidR="00F90B96" w:rsidRPr="00FE7579" w:rsidRDefault="00F90B96" w:rsidP="00A551FE">
      <w:pPr>
        <w:suppressAutoHyphens w:val="0"/>
        <w:autoSpaceDN/>
        <w:spacing w:after="200" w:line="276" w:lineRule="auto"/>
        <w:textAlignment w:val="auto"/>
        <w:rPr>
          <w:rFonts w:ascii="Arial" w:hAnsi="Arial" w:cs="Arial"/>
          <w:b/>
          <w:sz w:val="20"/>
        </w:rPr>
        <w:sectPr w:rsidR="00F90B96" w:rsidRPr="00FE7579" w:rsidSect="00DE3A9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 w:code="1"/>
          <w:pgMar w:top="1702" w:right="1041" w:bottom="1440" w:left="1440" w:header="426" w:footer="284" w:gutter="0"/>
          <w:cols w:space="720"/>
          <w:titlePg/>
          <w:docGrid w:linePitch="299"/>
        </w:sectPr>
      </w:pPr>
    </w:p>
    <w:p w14:paraId="64478D27" w14:textId="77777777" w:rsidR="00007970" w:rsidRPr="00FE7579" w:rsidRDefault="006662C3" w:rsidP="00C328E7">
      <w:pPr>
        <w:pStyle w:val="berschrift1"/>
        <w:spacing w:before="120" w:after="120" w:line="257" w:lineRule="auto"/>
        <w:jc w:val="center"/>
        <w:rPr>
          <w:rFonts w:asciiTheme="minorHAnsi" w:hAnsiTheme="minorHAnsi" w:cs="Arial"/>
          <w:b/>
          <w:sz w:val="36"/>
          <w:szCs w:val="36"/>
          <w:lang w:eastAsia="en-US" w:bidi="ar-SA"/>
        </w:rPr>
      </w:pPr>
      <w:r w:rsidRPr="00FE7579">
        <w:rPr>
          <w:rFonts w:asciiTheme="minorHAnsi" w:hAnsiTheme="minorHAnsi" w:cs="Arial"/>
          <w:b/>
          <w:sz w:val="36"/>
          <w:szCs w:val="36"/>
          <w:lang w:eastAsia="en-US" w:bidi="ar-SA"/>
        </w:rPr>
        <w:lastRenderedPageBreak/>
        <w:t xml:space="preserve">Aperçu des offres de </w:t>
      </w:r>
      <w:r w:rsidR="007A7C5B" w:rsidRPr="00FE7579">
        <w:rPr>
          <w:rFonts w:asciiTheme="minorHAnsi" w:hAnsiTheme="minorHAnsi" w:cs="Arial"/>
          <w:b/>
          <w:sz w:val="36"/>
          <w:szCs w:val="36"/>
          <w:lang w:eastAsia="en-US" w:bidi="ar-SA"/>
        </w:rPr>
        <w:t>f</w:t>
      </w:r>
      <w:r w:rsidR="00F90B96" w:rsidRPr="00FE7579">
        <w:rPr>
          <w:rFonts w:asciiTheme="minorHAnsi" w:hAnsiTheme="minorHAnsi" w:cs="Arial"/>
          <w:b/>
          <w:sz w:val="36"/>
          <w:szCs w:val="36"/>
          <w:lang w:eastAsia="en-US" w:bidi="ar-SA"/>
        </w:rPr>
        <w:t>ormation et de conseil du CELV</w:t>
      </w:r>
    </w:p>
    <w:p w14:paraId="41911440" w14:textId="025F8DA0" w:rsidR="00150A4B" w:rsidRPr="00150A4B" w:rsidRDefault="00150A4B" w:rsidP="00150A4B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84"/>
        <w:jc w:val="both"/>
        <w:textAlignment w:val="auto"/>
        <w:rPr>
          <w:rFonts w:cs="Arial"/>
          <w:u w:val="single"/>
        </w:rPr>
      </w:pPr>
      <w:r w:rsidRPr="00150A4B">
        <w:rPr>
          <w:rFonts w:asciiTheme="minorHAnsi" w:hAnsiTheme="minorHAnsi" w:cs="Arial"/>
          <w:b/>
        </w:rPr>
        <w:t>Les communautés de recherche-action pour</w:t>
      </w:r>
      <w:r>
        <w:rPr>
          <w:rFonts w:asciiTheme="minorHAnsi" w:hAnsiTheme="minorHAnsi" w:cs="Arial"/>
          <w:b/>
        </w:rPr>
        <w:t xml:space="preserve"> </w:t>
      </w:r>
      <w:r w:rsidRPr="00150A4B">
        <w:rPr>
          <w:rFonts w:asciiTheme="minorHAnsi" w:hAnsiTheme="minorHAnsi" w:cs="Arial"/>
          <w:b/>
        </w:rPr>
        <w:t xml:space="preserve">les </w:t>
      </w:r>
      <w:proofErr w:type="spellStart"/>
      <w:r w:rsidRPr="00150A4B">
        <w:rPr>
          <w:rFonts w:asciiTheme="minorHAnsi" w:hAnsiTheme="minorHAnsi" w:cs="Arial"/>
          <w:b/>
        </w:rPr>
        <w:t>enseignant·es</w:t>
      </w:r>
      <w:proofErr w:type="spellEnd"/>
      <w:r w:rsidRPr="00150A4B">
        <w:rPr>
          <w:rFonts w:asciiTheme="minorHAnsi" w:hAnsiTheme="minorHAnsi" w:cs="Arial"/>
          <w:b/>
        </w:rPr>
        <w:t xml:space="preserve"> de langues</w:t>
      </w:r>
    </w:p>
    <w:p w14:paraId="250D70E9" w14:textId="0FB159D0" w:rsidR="00150A4B" w:rsidRPr="00150A4B" w:rsidRDefault="00150A4B" w:rsidP="00150A4B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cs="Arial"/>
          <w:u w:val="single"/>
        </w:rPr>
      </w:pPr>
      <w:r w:rsidRPr="00601FDF">
        <w:rPr>
          <w:rFonts w:asciiTheme="minorHAnsi" w:hAnsiTheme="minorHAnsi" w:cstheme="minorHAnsi"/>
        </w:rPr>
        <w:t xml:space="preserve">Aider les </w:t>
      </w:r>
      <w:proofErr w:type="spellStart"/>
      <w:r w:rsidRPr="00601FDF">
        <w:rPr>
          <w:rFonts w:asciiTheme="minorHAnsi" w:hAnsiTheme="minorHAnsi" w:cstheme="minorHAnsi"/>
        </w:rPr>
        <w:t>enseignant·es</w:t>
      </w:r>
      <w:proofErr w:type="spellEnd"/>
      <w:r w:rsidRPr="00601FDF">
        <w:rPr>
          <w:rFonts w:asciiTheme="minorHAnsi" w:hAnsiTheme="minorHAnsi" w:cstheme="minorHAnsi"/>
        </w:rPr>
        <w:t xml:space="preserve"> à réfléchir de manière critique à leur pratique pédagogique et les inciter à considérer la recherche-action comme un outil permettant de créer des classes, des écoles, des communautés et des sociétés plus inclusives, démocratiques et pacifiques</w:t>
      </w:r>
    </w:p>
    <w:p w14:paraId="2B923288" w14:textId="5F02E719" w:rsidR="000D5F1B" w:rsidRPr="004173B9" w:rsidRDefault="00150A4B" w:rsidP="004173B9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</w:rPr>
        <w:t>Langues</w:t>
      </w:r>
      <w:r w:rsidR="008A2094" w:rsidRPr="00FE7579">
        <w:rPr>
          <w:rFonts w:asciiTheme="minorHAnsi" w:hAnsiTheme="minorHAnsi" w:cs="Arial"/>
        </w:rPr>
        <w:t xml:space="preserve"> de travail : </w:t>
      </w:r>
      <w:r w:rsidR="00CA2CCE" w:rsidRPr="00FE7579">
        <w:rPr>
          <w:rFonts w:asciiTheme="minorHAnsi" w:hAnsiTheme="minorHAnsi" w:cs="Arial"/>
        </w:rPr>
        <w:t>anglais, allemand</w:t>
      </w:r>
      <w:r w:rsidR="004173B9">
        <w:rPr>
          <w:rFonts w:asciiTheme="minorHAnsi" w:hAnsiTheme="minorHAnsi" w:cs="Arial"/>
        </w:rPr>
        <w:tab/>
      </w:r>
      <w:hyperlink r:id="rId13" w:history="1">
        <w:r w:rsidR="00FC325C">
          <w:rPr>
            <w:rStyle w:val="Hyperlink"/>
          </w:rPr>
          <w:t>R</w:t>
        </w:r>
        <w:r w:rsidR="00FC325C" w:rsidRPr="00A72E3A">
          <w:rPr>
            <w:rStyle w:val="Hyperlink"/>
          </w:rPr>
          <w:t>e</w:t>
        </w:r>
        <w:r w:rsidR="00FC325C">
          <w:rPr>
            <w:rStyle w:val="Hyperlink"/>
          </w:rPr>
          <w:t>cherche-</w:t>
        </w:r>
        <w:r w:rsidR="00FC325C" w:rsidRPr="00A72E3A">
          <w:rPr>
            <w:rStyle w:val="Hyperlink"/>
          </w:rPr>
          <w:t>ac</w:t>
        </w:r>
        <w:r w:rsidR="00FC325C">
          <w:rPr>
            <w:rStyle w:val="Hyperlink"/>
          </w:rPr>
          <w:t>tion</w:t>
        </w:r>
      </w:hyperlink>
    </w:p>
    <w:p w14:paraId="2DB72311" w14:textId="2CD37BAF" w:rsidR="00150A4B" w:rsidRDefault="00150A4B" w:rsidP="00150A4B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84"/>
        <w:jc w:val="both"/>
        <w:textAlignment w:val="auto"/>
        <w:rPr>
          <w:rFonts w:asciiTheme="minorHAnsi" w:hAnsiTheme="minorHAnsi" w:cs="Arial"/>
          <w:b/>
        </w:rPr>
      </w:pPr>
      <w:r w:rsidRPr="00150A4B">
        <w:rPr>
          <w:rFonts w:asciiTheme="minorHAnsi" w:hAnsiTheme="minorHAnsi" w:cs="Arial"/>
          <w:b/>
        </w:rPr>
        <w:t xml:space="preserve">Au-delà de l’EMILE – L’enseignement </w:t>
      </w:r>
      <w:proofErr w:type="spellStart"/>
      <w:r w:rsidRPr="00150A4B">
        <w:rPr>
          <w:rFonts w:asciiTheme="minorHAnsi" w:hAnsiTheme="minorHAnsi" w:cs="Arial"/>
          <w:b/>
        </w:rPr>
        <w:t>plurilittératie</w:t>
      </w:r>
      <w:proofErr w:type="spellEnd"/>
      <w:r w:rsidRPr="00150A4B">
        <w:rPr>
          <w:rFonts w:asciiTheme="minorHAnsi" w:hAnsiTheme="minorHAnsi" w:cs="Arial"/>
          <w:b/>
        </w:rPr>
        <w:t xml:space="preserve"> pour un apprentissage plus approfondi</w:t>
      </w:r>
    </w:p>
    <w:p w14:paraId="3823F292" w14:textId="77777777" w:rsidR="00150A4B" w:rsidRDefault="00150A4B" w:rsidP="00150A4B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</w:rPr>
      </w:pPr>
      <w:r w:rsidRPr="00150A4B">
        <w:rPr>
          <w:rFonts w:asciiTheme="minorHAnsi" w:hAnsiTheme="minorHAnsi" w:cs="Arial"/>
        </w:rPr>
        <w:t xml:space="preserve">Développer une compréhension du rôle de l’EMILE dans l’apprentissage approfondi d’une matière, la progression et le transfert de connaissances ; mettre en pratique des exemples d’approches didactiques des </w:t>
      </w:r>
      <w:proofErr w:type="spellStart"/>
      <w:r w:rsidRPr="00150A4B">
        <w:rPr>
          <w:rFonts w:asciiTheme="minorHAnsi" w:hAnsiTheme="minorHAnsi" w:cs="Arial"/>
        </w:rPr>
        <w:t>plurilittératies</w:t>
      </w:r>
      <w:proofErr w:type="spellEnd"/>
    </w:p>
    <w:p w14:paraId="445CE7E7" w14:textId="75B35147" w:rsidR="00150A4B" w:rsidRPr="00150A4B" w:rsidRDefault="00150A4B" w:rsidP="004173B9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  <w:rFonts w:asciiTheme="minorHAnsi" w:eastAsia="Times New Roman" w:hAnsiTheme="minorHAnsi" w:cs="Arial"/>
          <w:b/>
          <w:color w:val="auto"/>
          <w:u w:val="none"/>
        </w:rPr>
      </w:pPr>
      <w:r>
        <w:rPr>
          <w:rFonts w:asciiTheme="minorHAnsi" w:hAnsiTheme="minorHAnsi" w:cs="Arial"/>
        </w:rPr>
        <w:t>Langues</w:t>
      </w:r>
      <w:r w:rsidRPr="00FE7579">
        <w:rPr>
          <w:rFonts w:asciiTheme="minorHAnsi" w:hAnsiTheme="minorHAnsi"/>
          <w:color w:val="000000"/>
        </w:rPr>
        <w:t xml:space="preserve"> de travail : </w:t>
      </w:r>
      <w:r w:rsidRPr="00FE7579">
        <w:rPr>
          <w:rFonts w:asciiTheme="minorHAnsi" w:hAnsiTheme="minorHAnsi" w:cs="Arial"/>
          <w:color w:val="000000"/>
        </w:rPr>
        <w:t xml:space="preserve">anglais, </w:t>
      </w:r>
      <w:r>
        <w:rPr>
          <w:rFonts w:asciiTheme="minorHAnsi" w:hAnsiTheme="minorHAnsi" w:cs="Arial"/>
          <w:color w:val="000000"/>
        </w:rPr>
        <w:t xml:space="preserve">français, </w:t>
      </w:r>
      <w:r w:rsidRPr="00FE7579">
        <w:rPr>
          <w:rFonts w:asciiTheme="minorHAnsi" w:hAnsiTheme="minorHAnsi" w:cs="Arial"/>
          <w:color w:val="000000"/>
        </w:rPr>
        <w:t>allemand</w:t>
      </w:r>
      <w:r w:rsidR="004173B9">
        <w:rPr>
          <w:rFonts w:asciiTheme="minorHAnsi" w:hAnsiTheme="minorHAnsi" w:cs="Arial"/>
          <w:color w:val="000000"/>
        </w:rPr>
        <w:tab/>
      </w:r>
      <w:hyperlink r:id="rId14" w:history="1">
        <w:proofErr w:type="spellStart"/>
        <w:r w:rsidR="00FC325C" w:rsidRPr="00A72E3A">
          <w:rPr>
            <w:rStyle w:val="Hyperlink"/>
            <w:sz w:val="20"/>
            <w:szCs w:val="20"/>
          </w:rPr>
          <w:t>Plurilit</w:t>
        </w:r>
        <w:r w:rsidR="00FC325C">
          <w:rPr>
            <w:rStyle w:val="Hyperlink"/>
            <w:sz w:val="20"/>
            <w:szCs w:val="20"/>
          </w:rPr>
          <w:t>té</w:t>
        </w:r>
        <w:r w:rsidR="00FC325C" w:rsidRPr="00A72E3A">
          <w:rPr>
            <w:rStyle w:val="Hyperlink"/>
            <w:sz w:val="20"/>
            <w:szCs w:val="20"/>
          </w:rPr>
          <w:t>ra</w:t>
        </w:r>
        <w:r w:rsidR="00FC325C">
          <w:rPr>
            <w:rStyle w:val="Hyperlink"/>
            <w:sz w:val="20"/>
            <w:szCs w:val="20"/>
          </w:rPr>
          <w:t>t</w:t>
        </w:r>
        <w:r w:rsidR="00FC325C" w:rsidRPr="00A72E3A">
          <w:rPr>
            <w:rStyle w:val="Hyperlink"/>
            <w:sz w:val="20"/>
            <w:szCs w:val="20"/>
          </w:rPr>
          <w:t>i</w:t>
        </w:r>
        <w:r w:rsidR="00E84BE0">
          <w:rPr>
            <w:rStyle w:val="Hyperlink"/>
            <w:sz w:val="20"/>
            <w:szCs w:val="20"/>
          </w:rPr>
          <w:t>es</w:t>
        </w:r>
        <w:proofErr w:type="spellEnd"/>
      </w:hyperlink>
    </w:p>
    <w:p w14:paraId="7C0ED200" w14:textId="77777777" w:rsidR="00921C32" w:rsidRPr="00921C32" w:rsidRDefault="00921C32" w:rsidP="00921C32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84"/>
        <w:jc w:val="both"/>
        <w:textAlignment w:val="auto"/>
        <w:rPr>
          <w:rFonts w:asciiTheme="minorHAnsi" w:hAnsiTheme="minorHAnsi" w:cs="Arial"/>
          <w:b/>
        </w:rPr>
      </w:pPr>
      <w:r w:rsidRPr="00921C32">
        <w:rPr>
          <w:rFonts w:asciiTheme="minorHAnsi" w:hAnsiTheme="minorHAnsi" w:cs="Arial"/>
          <w:b/>
        </w:rPr>
        <w:t>Le Volume complémentaire du CECR : la médiation</w:t>
      </w:r>
      <w:r>
        <w:rPr>
          <w:rFonts w:asciiTheme="minorHAnsi" w:hAnsiTheme="minorHAnsi" w:cs="Arial"/>
          <w:b/>
        </w:rPr>
        <w:t xml:space="preserve"> </w:t>
      </w:r>
      <w:r w:rsidRPr="00921C32">
        <w:rPr>
          <w:rFonts w:asciiTheme="minorHAnsi" w:hAnsiTheme="minorHAnsi" w:cs="Arial"/>
          <w:b/>
        </w:rPr>
        <w:t>et d’autres concepts fondamentaux</w:t>
      </w:r>
    </w:p>
    <w:p w14:paraId="3A739C00" w14:textId="5D676837" w:rsidR="00921C32" w:rsidRDefault="00921C32" w:rsidP="00A04414">
      <w:pPr>
        <w:pStyle w:val="Listenabsatz"/>
        <w:autoSpaceDN/>
        <w:spacing w:after="200" w:line="264" w:lineRule="auto"/>
        <w:ind w:left="284"/>
        <w:textAlignment w:val="auto"/>
      </w:pPr>
      <w:r w:rsidRPr="00921C32">
        <w:t xml:space="preserve">Utiliser les modules relatifs au VC du CECR dans les programmes de formation des </w:t>
      </w:r>
      <w:proofErr w:type="spellStart"/>
      <w:r w:rsidRPr="00921C32">
        <w:t>enseignant·es</w:t>
      </w:r>
      <w:proofErr w:type="spellEnd"/>
      <w:r w:rsidRPr="00921C32">
        <w:t xml:space="preserve"> de langues et préparer les </w:t>
      </w:r>
      <w:proofErr w:type="spellStart"/>
      <w:r w:rsidRPr="00921C32">
        <w:t>enseignant·es</w:t>
      </w:r>
      <w:proofErr w:type="spellEnd"/>
      <w:r w:rsidRPr="00921C32">
        <w:t xml:space="preserve"> à inclure la médiation dans leurs pratiques d’enseignement et d’évaluation</w:t>
      </w:r>
    </w:p>
    <w:p w14:paraId="46A25492" w14:textId="77777777" w:rsidR="00954373" w:rsidRDefault="00921C32" w:rsidP="00954373">
      <w:pPr>
        <w:pStyle w:val="Listenabsatz"/>
        <w:tabs>
          <w:tab w:val="right" w:pos="9214"/>
        </w:tabs>
        <w:autoSpaceDN/>
        <w:spacing w:after="200" w:line="264" w:lineRule="auto"/>
        <w:ind w:left="284"/>
        <w:textAlignment w:val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L</w:t>
      </w:r>
      <w:r w:rsidR="008A2094" w:rsidRPr="00FE7579">
        <w:rPr>
          <w:rFonts w:asciiTheme="minorHAnsi" w:hAnsiTheme="minorHAnsi" w:cs="Arial"/>
        </w:rPr>
        <w:t xml:space="preserve">angues de travail : </w:t>
      </w:r>
      <w:r w:rsidR="00B67569" w:rsidRPr="00FE7579">
        <w:rPr>
          <w:rFonts w:asciiTheme="minorHAnsi" w:hAnsiTheme="minorHAnsi" w:cs="Arial"/>
          <w:color w:val="000000"/>
        </w:rPr>
        <w:t>anglais</w:t>
      </w:r>
      <w:r w:rsidR="000825B0" w:rsidRPr="00FE7579">
        <w:rPr>
          <w:rFonts w:asciiTheme="minorHAnsi" w:hAnsiTheme="minorHAnsi" w:cs="Arial"/>
          <w:color w:val="000000"/>
        </w:rPr>
        <w:t>,</w:t>
      </w:r>
      <w:r w:rsidR="00B67569" w:rsidRPr="00FE7579">
        <w:rPr>
          <w:rFonts w:asciiTheme="minorHAnsi" w:hAnsiTheme="minorHAnsi" w:cs="Arial"/>
          <w:color w:val="000000"/>
        </w:rPr>
        <w:t xml:space="preserve"> français</w:t>
      </w:r>
      <w:r w:rsidR="00E162D2" w:rsidRPr="00FE7579">
        <w:rPr>
          <w:rFonts w:asciiTheme="minorHAnsi" w:hAnsiTheme="minorHAnsi" w:cs="Arial"/>
          <w:color w:val="000000"/>
        </w:rPr>
        <w:t>.</w:t>
      </w:r>
    </w:p>
    <w:p w14:paraId="5F8B81FF" w14:textId="6A97261D" w:rsidR="00954373" w:rsidRDefault="00954373" w:rsidP="00954373">
      <w:pPr>
        <w:pStyle w:val="Listenabsatz"/>
        <w:tabs>
          <w:tab w:val="right" w:pos="9214"/>
        </w:tabs>
        <w:autoSpaceDN/>
        <w:spacing w:after="200" w:line="264" w:lineRule="auto"/>
        <w:ind w:left="284"/>
        <w:textAlignment w:val="auto"/>
      </w:pPr>
      <w:r>
        <w:tab/>
      </w:r>
      <w:r w:rsidR="00C227C9">
        <w:t>Focus:</w:t>
      </w:r>
      <w:r w:rsidR="00AB03D3">
        <w:t xml:space="preserve"> </w:t>
      </w:r>
      <w:hyperlink r:id="rId15" w:history="1">
        <w:r w:rsidR="00AB03D3" w:rsidRPr="00954373">
          <w:rPr>
            <w:rStyle w:val="Hyperlink"/>
          </w:rPr>
          <w:t xml:space="preserve">« Compétences des </w:t>
        </w:r>
        <w:proofErr w:type="spellStart"/>
        <w:r w:rsidR="00AB03D3" w:rsidRPr="00954373">
          <w:rPr>
            <w:rStyle w:val="Hyperlink"/>
          </w:rPr>
          <w:t>enseignant·es</w:t>
        </w:r>
        <w:proofErr w:type="spellEnd"/>
        <w:r w:rsidR="00AB03D3" w:rsidRPr="00954373">
          <w:rPr>
            <w:rStyle w:val="Hyperlink"/>
          </w:rPr>
          <w:t xml:space="preserve"> et des </w:t>
        </w:r>
        <w:proofErr w:type="spellStart"/>
        <w:r w:rsidR="00AB03D3" w:rsidRPr="00954373">
          <w:rPr>
            <w:rStyle w:val="Hyperlink"/>
          </w:rPr>
          <w:t>apprenant·es</w:t>
        </w:r>
        <w:proofErr w:type="spellEnd"/>
        <w:r w:rsidR="00AB03D3" w:rsidRPr="00954373">
          <w:rPr>
            <w:rStyle w:val="Hyperlink"/>
          </w:rPr>
          <w:t> »</w:t>
        </w:r>
      </w:hyperlink>
    </w:p>
    <w:p w14:paraId="2062CF22" w14:textId="24F075F5" w:rsidR="00AB03D3" w:rsidRDefault="00954373" w:rsidP="00C93EC7">
      <w:pPr>
        <w:pStyle w:val="Listenabsatz"/>
        <w:tabs>
          <w:tab w:val="right" w:pos="9214"/>
        </w:tabs>
        <w:autoSpaceDN/>
        <w:spacing w:after="200" w:line="264" w:lineRule="auto"/>
        <w:ind w:left="284"/>
        <w:textAlignment w:val="auto"/>
        <w:rPr>
          <w:rStyle w:val="Hyperlink"/>
        </w:rPr>
      </w:pPr>
      <w:r>
        <w:tab/>
      </w:r>
      <w:r w:rsidR="00C227C9">
        <w:t>Focus:</w:t>
      </w:r>
      <w:r w:rsidR="00AB03D3">
        <w:t xml:space="preserve"> </w:t>
      </w:r>
      <w:hyperlink r:id="rId16" w:history="1">
        <w:r w:rsidR="00AB03D3" w:rsidRPr="00954373">
          <w:rPr>
            <w:rStyle w:val="Hyperlink"/>
          </w:rPr>
          <w:t>« Apprentissage des langues dès le plus jeune âge »</w:t>
        </w:r>
      </w:hyperlink>
    </w:p>
    <w:p w14:paraId="46431D46" w14:textId="77777777" w:rsidR="00921C32" w:rsidRPr="00921C32" w:rsidRDefault="00921C32" w:rsidP="00921C32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18"/>
        <w:jc w:val="both"/>
        <w:textAlignment w:val="auto"/>
        <w:rPr>
          <w:rFonts w:asciiTheme="minorHAnsi" w:hAnsiTheme="minorHAnsi" w:cs="Arial"/>
        </w:rPr>
      </w:pPr>
      <w:r w:rsidRPr="00921C32">
        <w:rPr>
          <w:rFonts w:cs="Calibri"/>
          <w:b/>
          <w:kern w:val="2"/>
          <w:lang w:eastAsia="en-US" w:bidi="ar-SA"/>
          <w14:ligatures w14:val="standardContextual"/>
        </w:rPr>
        <w:t>Promouvoir la citoyenneté numérique par l’éducation langagière</w:t>
      </w:r>
    </w:p>
    <w:p w14:paraId="17C6D0FC" w14:textId="77777777" w:rsidR="00921C32" w:rsidRDefault="00921C32" w:rsidP="00921C32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  <w:bCs/>
        </w:rPr>
      </w:pPr>
      <w:r w:rsidRPr="00921C32">
        <w:rPr>
          <w:rFonts w:asciiTheme="minorHAnsi" w:hAnsiTheme="minorHAnsi" w:cs="Arial"/>
          <w:bCs/>
        </w:rPr>
        <w:t xml:space="preserve">Sensibiliser à ce qu’implique le fait d’être </w:t>
      </w:r>
      <w:proofErr w:type="spellStart"/>
      <w:r w:rsidRPr="00921C32">
        <w:rPr>
          <w:rFonts w:asciiTheme="minorHAnsi" w:hAnsiTheme="minorHAnsi" w:cs="Arial"/>
          <w:bCs/>
        </w:rPr>
        <w:t>un·e</w:t>
      </w:r>
      <w:proofErr w:type="spellEnd"/>
      <w:r w:rsidRPr="00921C32">
        <w:rPr>
          <w:rFonts w:asciiTheme="minorHAnsi" w:hAnsiTheme="minorHAnsi" w:cs="Arial"/>
          <w:bCs/>
        </w:rPr>
        <w:t xml:space="preserve"> </w:t>
      </w:r>
      <w:proofErr w:type="spellStart"/>
      <w:r w:rsidRPr="00921C32">
        <w:rPr>
          <w:rFonts w:asciiTheme="minorHAnsi" w:hAnsiTheme="minorHAnsi" w:cs="Arial"/>
          <w:bCs/>
        </w:rPr>
        <w:t>citoyen·ne</w:t>
      </w:r>
      <w:proofErr w:type="spellEnd"/>
      <w:r w:rsidRPr="00921C32">
        <w:rPr>
          <w:rFonts w:asciiTheme="minorHAnsi" w:hAnsiTheme="minorHAnsi" w:cs="Arial"/>
          <w:bCs/>
        </w:rPr>
        <w:t xml:space="preserve"> responsable qui utilise les langues et la technologie numérique et comment concevoir des tâches réflexives et de la vie réelle adaptables pour les </w:t>
      </w:r>
      <w:proofErr w:type="spellStart"/>
      <w:r w:rsidRPr="00921C32">
        <w:rPr>
          <w:rFonts w:asciiTheme="minorHAnsi" w:hAnsiTheme="minorHAnsi" w:cs="Arial"/>
          <w:bCs/>
        </w:rPr>
        <w:t>apprenant·es</w:t>
      </w:r>
      <w:proofErr w:type="spellEnd"/>
    </w:p>
    <w:p w14:paraId="2323D8E3" w14:textId="244BB97A" w:rsidR="00921C32" w:rsidRDefault="00921C32" w:rsidP="00C93EC7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</w:rPr>
      </w:pPr>
      <w:r>
        <w:rPr>
          <w:rFonts w:asciiTheme="minorHAnsi" w:hAnsiTheme="minorHAnsi" w:cs="Arial"/>
        </w:rPr>
        <w:t>L</w:t>
      </w:r>
      <w:r w:rsidRPr="00FE7579">
        <w:rPr>
          <w:rFonts w:asciiTheme="minorHAnsi" w:hAnsiTheme="minorHAnsi" w:cs="Arial"/>
        </w:rPr>
        <w:t xml:space="preserve">angues de travail : </w:t>
      </w:r>
      <w:r w:rsidRPr="00FE7579">
        <w:rPr>
          <w:rFonts w:asciiTheme="minorHAnsi" w:hAnsiTheme="minorHAnsi" w:cs="Arial"/>
          <w:color w:val="000000"/>
        </w:rPr>
        <w:t>anglais, français, alleman</w:t>
      </w:r>
      <w:r>
        <w:rPr>
          <w:rFonts w:asciiTheme="minorHAnsi" w:hAnsiTheme="minorHAnsi" w:cs="Arial"/>
          <w:color w:val="000000"/>
        </w:rPr>
        <w:t>d</w:t>
      </w:r>
      <w:r w:rsidR="00C93EC7">
        <w:rPr>
          <w:rFonts w:asciiTheme="minorHAnsi" w:hAnsiTheme="minorHAnsi" w:cs="Arial"/>
          <w:color w:val="000000"/>
        </w:rPr>
        <w:tab/>
      </w:r>
      <w:hyperlink r:id="rId17" w:history="1">
        <w:r w:rsidR="00954373" w:rsidRPr="00954373">
          <w:rPr>
            <w:rStyle w:val="Hyperlink"/>
          </w:rPr>
          <w:t>e-</w:t>
        </w:r>
        <w:proofErr w:type="spellStart"/>
        <w:r w:rsidR="00954373" w:rsidRPr="00954373">
          <w:rPr>
            <w:rStyle w:val="Hyperlink"/>
          </w:rPr>
          <w:t>lang</w:t>
        </w:r>
        <w:proofErr w:type="spellEnd"/>
        <w:r w:rsidR="00954373" w:rsidRPr="00954373">
          <w:rPr>
            <w:rStyle w:val="Hyperlink"/>
          </w:rPr>
          <w:t xml:space="preserve"> citoyen</w:t>
        </w:r>
      </w:hyperlink>
    </w:p>
    <w:p w14:paraId="3228C042" w14:textId="77777777" w:rsidR="00921C32" w:rsidRPr="00921C32" w:rsidRDefault="00921C32" w:rsidP="00921C32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18"/>
        <w:jc w:val="both"/>
        <w:textAlignment w:val="auto"/>
        <w:rPr>
          <w:rFonts w:cs="Calibri"/>
          <w:b/>
          <w:kern w:val="2"/>
          <w:lang w:eastAsia="en-US" w:bidi="ar-SA"/>
          <w14:ligatures w14:val="standardContextual"/>
        </w:rPr>
      </w:pPr>
      <w:r w:rsidRPr="00921C32">
        <w:rPr>
          <w:rFonts w:cs="Calibri"/>
          <w:b/>
          <w:kern w:val="2"/>
          <w:lang w:eastAsia="en-US" w:bidi="ar-SA"/>
          <w14:ligatures w14:val="standardContextual"/>
        </w:rPr>
        <w:t>Des environnements d’apprentissage optimisés pour et par les langues</w:t>
      </w:r>
    </w:p>
    <w:p w14:paraId="0ED0F4EC" w14:textId="4564F037" w:rsidR="00921C32" w:rsidRPr="00921C32" w:rsidRDefault="00921C32" w:rsidP="00921C32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  <w:bCs/>
        </w:rPr>
      </w:pPr>
      <w:r w:rsidRPr="00921C32">
        <w:rPr>
          <w:rFonts w:asciiTheme="minorHAnsi" w:hAnsiTheme="minorHAnsi" w:cs="Arial"/>
          <w:bCs/>
        </w:rPr>
        <w:t xml:space="preserve">Apprendre à intégrer les langues au cœur de l’apprentissage et de l’enseignement, y compris par l’utilisation de l’IA </w:t>
      </w:r>
      <w:r w:rsidR="000C7FD2" w:rsidRPr="00921C32">
        <w:rPr>
          <w:rFonts w:asciiTheme="minorHAnsi" w:hAnsiTheme="minorHAnsi" w:cs="Arial"/>
          <w:bCs/>
        </w:rPr>
        <w:t>générative</w:t>
      </w:r>
      <w:r w:rsidRPr="00921C32">
        <w:rPr>
          <w:rFonts w:asciiTheme="minorHAnsi" w:hAnsiTheme="minorHAnsi" w:cs="Arial"/>
          <w:bCs/>
        </w:rPr>
        <w:t> ; apprendre à bénéficier d’environnements d’apprentissage des langues holistiques et inclusifs</w:t>
      </w:r>
    </w:p>
    <w:p w14:paraId="50499130" w14:textId="780D8BBB" w:rsidR="00921C32" w:rsidRDefault="00921C32" w:rsidP="00921C32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</w:rPr>
        <w:t>L</w:t>
      </w:r>
      <w:r w:rsidRPr="00FE7579">
        <w:rPr>
          <w:rFonts w:asciiTheme="minorHAnsi" w:hAnsiTheme="minorHAnsi" w:cs="Arial"/>
        </w:rPr>
        <w:t xml:space="preserve">angues de travail : </w:t>
      </w:r>
      <w:r w:rsidRPr="00FE7579">
        <w:rPr>
          <w:rFonts w:asciiTheme="minorHAnsi" w:hAnsiTheme="minorHAnsi" w:cs="Arial"/>
          <w:color w:val="000000"/>
        </w:rPr>
        <w:t>anglais, français, allemand</w:t>
      </w:r>
    </w:p>
    <w:p w14:paraId="5B0744C8" w14:textId="23F5DF9E" w:rsidR="00C93EC7" w:rsidRPr="00C93EC7" w:rsidRDefault="000C7FD2" w:rsidP="00C93EC7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  <w:rFonts w:asciiTheme="minorHAnsi" w:hAnsiTheme="minorHAnsi" w:cs="Arial"/>
        </w:rPr>
      </w:pPr>
      <w:r>
        <w:tab/>
      </w:r>
      <w:r w:rsidR="00C227C9">
        <w:t>Focus:</w:t>
      </w:r>
      <w:r w:rsidR="00C93EC7">
        <w:t xml:space="preserve"> </w:t>
      </w:r>
      <w:hyperlink r:id="rId18" w:history="1">
        <w:r w:rsidR="00C93EC7" w:rsidRPr="000C7FD2">
          <w:rPr>
            <w:rStyle w:val="Hyperlink"/>
          </w:rPr>
          <w:t>« Éducation plurilingue et interculturelle » </w:t>
        </w:r>
      </w:hyperlink>
    </w:p>
    <w:p w14:paraId="7C6BED84" w14:textId="017F4C9A" w:rsidR="000C7FD2" w:rsidRPr="000C7FD2" w:rsidRDefault="000C7FD2" w:rsidP="000C7FD2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Fonts w:asciiTheme="minorHAnsi" w:hAnsiTheme="minorHAnsi"/>
        </w:rPr>
      </w:pPr>
      <w:r>
        <w:tab/>
      </w:r>
      <w:r w:rsidR="00C227C9">
        <w:t>Focus:</w:t>
      </w:r>
      <w:r>
        <w:t xml:space="preserve"> </w:t>
      </w:r>
      <w:hyperlink r:id="rId19" w:history="1">
        <w:r w:rsidRPr="00954373">
          <w:rPr>
            <w:rStyle w:val="Hyperlink"/>
          </w:rPr>
          <w:t>« Apprentissage des langues dès le plus jeune âge »</w:t>
        </w:r>
      </w:hyperlink>
    </w:p>
    <w:p w14:paraId="0080ADD5" w14:textId="6D4147C9" w:rsidR="00921C32" w:rsidRPr="00921C32" w:rsidRDefault="00921C32" w:rsidP="00B31574">
      <w:pPr>
        <w:pStyle w:val="Listenabsatz"/>
        <w:numPr>
          <w:ilvl w:val="0"/>
          <w:numId w:val="17"/>
        </w:numPr>
        <w:autoSpaceDN/>
        <w:spacing w:after="200" w:line="264" w:lineRule="auto"/>
        <w:ind w:left="284"/>
        <w:jc w:val="both"/>
        <w:textAlignment w:val="auto"/>
        <w:rPr>
          <w:rFonts w:asciiTheme="minorHAnsi" w:hAnsiTheme="minorHAnsi"/>
        </w:rPr>
      </w:pPr>
      <w:r w:rsidRPr="00921C32">
        <w:rPr>
          <w:rFonts w:cs="Calibri"/>
          <w:b/>
          <w:kern w:val="2"/>
          <w:lang w:eastAsia="en-US" w:bidi="ar-SA"/>
          <w14:ligatures w14:val="standardContextual"/>
        </w:rPr>
        <w:t xml:space="preserve">Éducation plurilingue et interculturelle : compétences des </w:t>
      </w:r>
      <w:proofErr w:type="spellStart"/>
      <w:r w:rsidRPr="00921C32">
        <w:rPr>
          <w:rFonts w:cs="Calibri"/>
          <w:b/>
          <w:kern w:val="2"/>
          <w:lang w:eastAsia="en-US" w:bidi="ar-SA"/>
          <w14:ligatures w14:val="standardContextual"/>
        </w:rPr>
        <w:t>apprenant·es</w:t>
      </w:r>
      <w:proofErr w:type="spellEnd"/>
      <w:r w:rsidRPr="00921C32">
        <w:rPr>
          <w:rFonts w:cs="Calibri"/>
          <w:b/>
          <w:kern w:val="2"/>
          <w:lang w:eastAsia="en-US" w:bidi="ar-SA"/>
          <w14:ligatures w14:val="standardContextual"/>
        </w:rPr>
        <w:t xml:space="preserve"> et des </w:t>
      </w:r>
      <w:proofErr w:type="spellStart"/>
      <w:r w:rsidRPr="00921C32">
        <w:rPr>
          <w:rFonts w:cs="Calibri"/>
          <w:b/>
          <w:kern w:val="2"/>
          <w:lang w:eastAsia="en-US" w:bidi="ar-SA"/>
          <w14:ligatures w14:val="standardContextual"/>
        </w:rPr>
        <w:t>enseignant·es</w:t>
      </w:r>
      <w:proofErr w:type="spellEnd"/>
    </w:p>
    <w:p w14:paraId="003B26D6" w14:textId="1684EED1" w:rsidR="006742E1" w:rsidRDefault="006742E1" w:rsidP="00921C32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/>
        </w:rPr>
      </w:pPr>
      <w:r w:rsidRPr="006742E1">
        <w:rPr>
          <w:rFonts w:asciiTheme="minorHAnsi" w:hAnsiTheme="minorHAnsi"/>
        </w:rPr>
        <w:t xml:space="preserve">Explorer les approches plurielles de l’enseignement et de l’apprentissage, les compétences pertinentes </w:t>
      </w:r>
      <w:proofErr w:type="spellStart"/>
      <w:r w:rsidRPr="006742E1">
        <w:rPr>
          <w:rFonts w:asciiTheme="minorHAnsi" w:hAnsiTheme="minorHAnsi"/>
        </w:rPr>
        <w:t>our</w:t>
      </w:r>
      <w:proofErr w:type="spellEnd"/>
      <w:r w:rsidRPr="006742E1">
        <w:rPr>
          <w:rFonts w:asciiTheme="minorHAnsi" w:hAnsiTheme="minorHAnsi"/>
        </w:rPr>
        <w:t xml:space="preserve"> les </w:t>
      </w:r>
      <w:proofErr w:type="spellStart"/>
      <w:r w:rsidRPr="006742E1">
        <w:rPr>
          <w:rFonts w:asciiTheme="minorHAnsi" w:hAnsiTheme="minorHAnsi"/>
        </w:rPr>
        <w:t>enseignant·es</w:t>
      </w:r>
      <w:proofErr w:type="spellEnd"/>
      <w:r w:rsidRPr="006742E1">
        <w:rPr>
          <w:rFonts w:asciiTheme="minorHAnsi" w:hAnsiTheme="minorHAnsi"/>
        </w:rPr>
        <w:t xml:space="preserve"> ainsi que les matériels de formation des </w:t>
      </w:r>
      <w:proofErr w:type="spellStart"/>
      <w:r w:rsidRPr="006742E1">
        <w:rPr>
          <w:rFonts w:asciiTheme="minorHAnsi" w:hAnsiTheme="minorHAnsi"/>
        </w:rPr>
        <w:t>enseignant·es</w:t>
      </w:r>
      <w:proofErr w:type="spellEnd"/>
    </w:p>
    <w:p w14:paraId="38484AA5" w14:textId="7A977C30" w:rsidR="00921C32" w:rsidRPr="007B6A43" w:rsidRDefault="00921C32" w:rsidP="007B6A43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</w:rPr>
      </w:pPr>
      <w:r w:rsidRPr="007B6A43">
        <w:rPr>
          <w:rFonts w:asciiTheme="minorHAnsi" w:hAnsiTheme="minorHAnsi" w:cs="Arial"/>
        </w:rPr>
        <w:t>Langues de travail : anglais, français, allemand</w:t>
      </w:r>
      <w:r w:rsidR="006742E1" w:rsidRPr="007B6A43">
        <w:rPr>
          <w:rFonts w:asciiTheme="minorHAnsi" w:hAnsiTheme="minorHAnsi" w:cs="Arial"/>
        </w:rPr>
        <w:tab/>
      </w:r>
      <w:hyperlink r:id="rId20" w:history="1">
        <w:r w:rsidR="007B6A43" w:rsidRPr="007B6A43">
          <w:rPr>
            <w:rStyle w:val="Hyperlink"/>
          </w:rPr>
          <w:t>CARAP</w:t>
        </w:r>
      </w:hyperlink>
      <w:r w:rsidR="007B6A43" w:rsidRPr="007B6A43">
        <w:rPr>
          <w:rStyle w:val="Hyperlink"/>
        </w:rPr>
        <w:t xml:space="preserve"> </w:t>
      </w:r>
      <w:r w:rsidR="007B6A43" w:rsidRPr="007B6A43">
        <w:rPr>
          <w:rFonts w:asciiTheme="minorHAnsi" w:hAnsiTheme="minorHAnsi" w:cs="Arial"/>
        </w:rPr>
        <w:t>- compétences</w:t>
      </w:r>
    </w:p>
    <w:p w14:paraId="68C5E53E" w14:textId="2CAD8DC1" w:rsidR="00921C32" w:rsidRDefault="00921C32" w:rsidP="00921C32">
      <w:pPr>
        <w:pStyle w:val="Listenabsatz"/>
        <w:numPr>
          <w:ilvl w:val="0"/>
          <w:numId w:val="17"/>
        </w:numPr>
        <w:autoSpaceDN/>
        <w:spacing w:after="200" w:line="264" w:lineRule="auto"/>
        <w:ind w:left="284"/>
        <w:jc w:val="both"/>
        <w:textAlignment w:val="auto"/>
        <w:rPr>
          <w:rFonts w:cs="Calibri"/>
          <w:b/>
          <w:kern w:val="2"/>
          <w:lang w:eastAsia="en-US" w:bidi="ar-SA"/>
          <w14:ligatures w14:val="standardContextual"/>
        </w:rPr>
      </w:pPr>
      <w:r>
        <w:rPr>
          <w:rFonts w:cs="Calibri"/>
          <w:b/>
          <w:kern w:val="2"/>
          <w:lang w:eastAsia="en-US" w:bidi="ar-SA"/>
          <w14:ligatures w14:val="standardContextual"/>
        </w:rPr>
        <w:t>L</w:t>
      </w:r>
      <w:r w:rsidRPr="00921C32">
        <w:rPr>
          <w:rFonts w:cs="Calibri"/>
          <w:b/>
          <w:kern w:val="2"/>
          <w:lang w:eastAsia="en-US" w:bidi="ar-SA"/>
          <w14:ligatures w14:val="standardContextual"/>
        </w:rPr>
        <w:t>es langues dès le plus jeune âge pour contribuer à l’éducation plurilingue</w:t>
      </w:r>
      <w:r>
        <w:rPr>
          <w:rFonts w:cs="Calibri"/>
          <w:b/>
          <w:kern w:val="2"/>
          <w:lang w:eastAsia="en-US" w:bidi="ar-SA"/>
          <w14:ligatures w14:val="standardContextual"/>
        </w:rPr>
        <w:t xml:space="preserve"> </w:t>
      </w:r>
      <w:r w:rsidRPr="00921C32">
        <w:rPr>
          <w:rFonts w:cs="Calibri"/>
          <w:b/>
          <w:kern w:val="2"/>
          <w:lang w:eastAsia="en-US" w:bidi="ar-SA"/>
          <w14:ligatures w14:val="standardContextual"/>
        </w:rPr>
        <w:t>et interculturelle</w:t>
      </w:r>
    </w:p>
    <w:p w14:paraId="2A811C65" w14:textId="77777777" w:rsidR="00921C32" w:rsidRDefault="00921C32" w:rsidP="00921C32">
      <w:pPr>
        <w:pStyle w:val="Listenabsatz"/>
        <w:autoSpaceDN/>
        <w:spacing w:after="200" w:line="264" w:lineRule="auto"/>
        <w:ind w:left="284"/>
        <w:jc w:val="both"/>
        <w:textAlignment w:val="auto"/>
        <w:rPr>
          <w:rFonts w:asciiTheme="minorHAnsi" w:hAnsiTheme="minorHAnsi"/>
        </w:rPr>
      </w:pPr>
      <w:r w:rsidRPr="00921C32">
        <w:rPr>
          <w:rFonts w:asciiTheme="minorHAnsi" w:hAnsiTheme="minorHAnsi"/>
        </w:rPr>
        <w:t>Explorer pourquoi et comment mettre en œuvre des approches plurielles dans l’apprentissage des langues dès le plus jeune âge et déterminer quels matériels et activités sont les mieux adaptés à la classe et comment impliquer les parents</w:t>
      </w:r>
    </w:p>
    <w:p w14:paraId="2F76DCC0" w14:textId="7AB06D29" w:rsidR="004D7526" w:rsidRDefault="00921C32" w:rsidP="00AB6FBC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</w:rPr>
      </w:pPr>
      <w:r>
        <w:rPr>
          <w:rFonts w:asciiTheme="minorHAnsi" w:hAnsiTheme="minorHAnsi"/>
          <w:color w:val="000000"/>
        </w:rPr>
        <w:t>L</w:t>
      </w:r>
      <w:r w:rsidRPr="00FE7579">
        <w:rPr>
          <w:rFonts w:asciiTheme="minorHAnsi" w:hAnsiTheme="minorHAnsi"/>
          <w:color w:val="000000"/>
        </w:rPr>
        <w:t xml:space="preserve">angues de travail : </w:t>
      </w:r>
      <w:r w:rsidRPr="00FE7579">
        <w:rPr>
          <w:rFonts w:asciiTheme="minorHAnsi" w:hAnsiTheme="minorHAnsi" w:cs="Arial"/>
          <w:color w:val="000000"/>
        </w:rPr>
        <w:t>anglais, français, allemand</w:t>
      </w:r>
      <w:r w:rsidR="00AB6FBC">
        <w:rPr>
          <w:rFonts w:asciiTheme="minorHAnsi" w:hAnsiTheme="minorHAnsi" w:cs="Arial"/>
          <w:color w:val="000000"/>
        </w:rPr>
        <w:tab/>
      </w:r>
      <w:hyperlink r:id="rId21" w:history="1">
        <w:r w:rsidR="007B6A43" w:rsidRPr="007B6A43">
          <w:rPr>
            <w:rStyle w:val="Hyperlink"/>
          </w:rPr>
          <w:t>CARAP</w:t>
        </w:r>
      </w:hyperlink>
      <w:r w:rsidR="007B6A43" w:rsidRPr="007B6A43">
        <w:rPr>
          <w:rFonts w:asciiTheme="minorHAnsi" w:hAnsiTheme="minorHAnsi" w:cs="Arial"/>
        </w:rPr>
        <w:t xml:space="preserve"> </w:t>
      </w:r>
      <w:r w:rsidR="007B6A43">
        <w:rPr>
          <w:rFonts w:asciiTheme="minorHAnsi" w:hAnsiTheme="minorHAnsi" w:cs="Arial"/>
        </w:rPr>
        <w:t>–</w:t>
      </w:r>
      <w:r w:rsidR="007B6A43" w:rsidRPr="007B6A43">
        <w:rPr>
          <w:rFonts w:asciiTheme="minorHAnsi" w:hAnsiTheme="minorHAnsi" w:cs="Arial"/>
        </w:rPr>
        <w:t xml:space="preserve"> </w:t>
      </w:r>
      <w:r w:rsidR="007B6A43">
        <w:rPr>
          <w:rFonts w:asciiTheme="minorHAnsi" w:hAnsiTheme="minorHAnsi" w:cs="Arial"/>
        </w:rPr>
        <w:t>dès le plus jeune âge</w:t>
      </w:r>
      <w:r w:rsidR="004D7526">
        <w:rPr>
          <w:rStyle w:val="Hyperlink"/>
        </w:rPr>
        <w:br w:type="page"/>
      </w:r>
    </w:p>
    <w:p w14:paraId="722233B6" w14:textId="7DFF7087" w:rsidR="00E160BC" w:rsidRPr="00FE7579" w:rsidRDefault="00495515" w:rsidP="00A04414">
      <w:pPr>
        <w:pStyle w:val="Listenabsatz"/>
        <w:numPr>
          <w:ilvl w:val="0"/>
          <w:numId w:val="17"/>
        </w:numPr>
        <w:autoSpaceDN/>
        <w:spacing w:after="200" w:line="264" w:lineRule="auto"/>
        <w:ind w:left="284" w:hanging="284"/>
        <w:jc w:val="both"/>
        <w:textAlignment w:val="auto"/>
        <w:rPr>
          <w:rFonts w:eastAsia="Times New Roman"/>
        </w:rPr>
      </w:pPr>
      <w:r w:rsidRPr="00495515">
        <w:rPr>
          <w:rFonts w:asciiTheme="minorHAnsi" w:hAnsiTheme="minorHAnsi" w:cs="Arial"/>
          <w:b/>
        </w:rPr>
        <w:lastRenderedPageBreak/>
        <w:t>La (les) langue(s) de scolarisation : une feuille de route pour les établissements scolaires</w:t>
      </w:r>
      <w:r w:rsidR="00A44440" w:rsidRPr="00FE7579">
        <w:rPr>
          <w:rFonts w:asciiTheme="minorHAnsi" w:hAnsiTheme="minorHAnsi" w:cs="Arial"/>
          <w:i/>
        </w:rPr>
        <w:br/>
      </w:r>
      <w:r w:rsidRPr="00495515">
        <w:rPr>
          <w:rFonts w:asciiTheme="minorHAnsi" w:hAnsiTheme="minorHAnsi" w:cs="Arial"/>
        </w:rPr>
        <w:t>Explorer une approche globale de l’école pour donner de la visibilité à la dimension linguistique dans toutes les matières et découvrir des pratiques prometteuses qui contribuent à améliorer les niveaux de compétence dans la (les) langue(s) de scolarisation</w:t>
      </w:r>
    </w:p>
    <w:p w14:paraId="5BED5C8D" w14:textId="3C9B7C5F" w:rsidR="008A2094" w:rsidRPr="00FE7579" w:rsidRDefault="00921C32" w:rsidP="00AB6FBC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Style w:val="Hyperlink"/>
          <w:rFonts w:asciiTheme="minorHAnsi" w:hAnsiTheme="minorHAnsi" w:cs="Arial"/>
        </w:rPr>
      </w:pPr>
      <w:r>
        <w:rPr>
          <w:rFonts w:asciiTheme="minorHAnsi" w:hAnsiTheme="minorHAnsi" w:cs="Arial"/>
        </w:rPr>
        <w:t>L</w:t>
      </w:r>
      <w:r w:rsidR="008A2094" w:rsidRPr="00FE7579">
        <w:rPr>
          <w:rFonts w:asciiTheme="minorHAnsi" w:hAnsiTheme="minorHAnsi" w:cs="Arial"/>
        </w:rPr>
        <w:t xml:space="preserve">angues de travail : </w:t>
      </w:r>
      <w:r w:rsidR="000825B0" w:rsidRPr="00FE7579">
        <w:rPr>
          <w:rFonts w:asciiTheme="minorHAnsi" w:hAnsiTheme="minorHAnsi" w:cs="Arial"/>
          <w:color w:val="000000"/>
        </w:rPr>
        <w:t>anglais, français, allemand</w:t>
      </w:r>
      <w:r w:rsidR="00AB6FBC">
        <w:rPr>
          <w:rFonts w:asciiTheme="minorHAnsi" w:hAnsiTheme="minorHAnsi" w:cs="Arial"/>
          <w:color w:val="000000"/>
        </w:rPr>
        <w:tab/>
      </w:r>
      <w:hyperlink r:id="rId22" w:history="1">
        <w:r w:rsidR="007B6A43" w:rsidRPr="007B6A43">
          <w:rPr>
            <w:rStyle w:val="Hyperlink"/>
          </w:rPr>
          <w:t>FEUILLE DE ROUTE</w:t>
        </w:r>
      </w:hyperlink>
    </w:p>
    <w:p w14:paraId="22463DFF" w14:textId="77777777" w:rsidR="00495515" w:rsidRPr="00495515" w:rsidRDefault="00495515" w:rsidP="00495515">
      <w:pPr>
        <w:pStyle w:val="Listenabsatz"/>
        <w:numPr>
          <w:ilvl w:val="0"/>
          <w:numId w:val="17"/>
        </w:numPr>
        <w:autoSpaceDN/>
        <w:spacing w:after="200" w:line="264" w:lineRule="auto"/>
        <w:ind w:left="284"/>
        <w:jc w:val="both"/>
        <w:textAlignment w:val="auto"/>
        <w:rPr>
          <w:rFonts w:cs="Calibri"/>
          <w:b/>
          <w:kern w:val="2"/>
          <w:lang w:eastAsia="en-US" w:bidi="ar-SA"/>
          <w14:ligatures w14:val="standardContextual"/>
        </w:rPr>
      </w:pPr>
      <w:r w:rsidRPr="00495515">
        <w:rPr>
          <w:rFonts w:cs="Calibri"/>
          <w:b/>
          <w:kern w:val="2"/>
          <w:lang w:eastAsia="en-US" w:bidi="ar-SA"/>
          <w14:ligatures w14:val="standardContextual"/>
        </w:rPr>
        <w:t>La mise en œuvre de l’éducation plurilingue et interculturelle</w:t>
      </w:r>
    </w:p>
    <w:p w14:paraId="6FB45E6F" w14:textId="7FFEB709" w:rsidR="00495515" w:rsidRDefault="00495515" w:rsidP="00A04414">
      <w:pPr>
        <w:pStyle w:val="Listenabsatz"/>
        <w:autoSpaceDN/>
        <w:spacing w:after="200" w:line="264" w:lineRule="auto"/>
        <w:ind w:left="284"/>
        <w:jc w:val="both"/>
        <w:textAlignment w:val="auto"/>
      </w:pPr>
      <w:r w:rsidRPr="00495515">
        <w:t xml:space="preserve">Explorer et pratiquer l’utilisation de matériel à la fois pour la classe et pour la formation des </w:t>
      </w:r>
      <w:proofErr w:type="spellStart"/>
      <w:r w:rsidRPr="00495515">
        <w:t>enseignant·es</w:t>
      </w:r>
      <w:proofErr w:type="spellEnd"/>
      <w:r w:rsidRPr="00495515">
        <w:t xml:space="preserve"> afin de soutenir la mise en œuvre d’approches plurielles dans l’éducation plurilingue et interculturelle</w:t>
      </w:r>
    </w:p>
    <w:p w14:paraId="409C3F43" w14:textId="4A514491" w:rsidR="009010C0" w:rsidRPr="009010C0" w:rsidRDefault="005D1ED8" w:rsidP="00AB6FBC">
      <w:pPr>
        <w:pStyle w:val="Listenabsatz"/>
        <w:tabs>
          <w:tab w:val="right" w:pos="9214"/>
        </w:tabs>
        <w:autoSpaceDN/>
        <w:spacing w:after="200" w:line="264" w:lineRule="auto"/>
        <w:ind w:left="284"/>
        <w:jc w:val="both"/>
        <w:textAlignment w:val="auto"/>
        <w:rPr>
          <w:rFonts w:asciiTheme="minorHAnsi" w:hAnsiTheme="minorHAnsi" w:cs="Arial"/>
        </w:rPr>
      </w:pPr>
      <w:r>
        <w:rPr>
          <w:rFonts w:asciiTheme="minorHAnsi" w:hAnsiTheme="minorHAnsi"/>
          <w:color w:val="000000"/>
        </w:rPr>
        <w:t>L</w:t>
      </w:r>
      <w:r w:rsidR="0025120B" w:rsidRPr="00FE7579">
        <w:rPr>
          <w:rFonts w:asciiTheme="minorHAnsi" w:hAnsiTheme="minorHAnsi"/>
          <w:color w:val="000000"/>
        </w:rPr>
        <w:t>angue</w:t>
      </w:r>
      <w:r w:rsidR="00495515">
        <w:rPr>
          <w:rFonts w:asciiTheme="minorHAnsi" w:hAnsiTheme="minorHAnsi"/>
          <w:color w:val="000000"/>
        </w:rPr>
        <w:t>s</w:t>
      </w:r>
      <w:r w:rsidR="0025120B" w:rsidRPr="00FE7579">
        <w:rPr>
          <w:rFonts w:asciiTheme="minorHAnsi" w:hAnsiTheme="minorHAnsi"/>
          <w:color w:val="000000"/>
        </w:rPr>
        <w:t xml:space="preserve"> de travail : </w:t>
      </w:r>
      <w:r w:rsidR="00495515" w:rsidRPr="00FE7579">
        <w:rPr>
          <w:rFonts w:asciiTheme="minorHAnsi" w:hAnsiTheme="minorHAnsi" w:cs="Arial"/>
          <w:color w:val="000000"/>
        </w:rPr>
        <w:t>anglais, français, allemand</w:t>
      </w:r>
      <w:r w:rsidR="00AB6FBC">
        <w:rPr>
          <w:rFonts w:asciiTheme="minorHAnsi" w:hAnsiTheme="minorHAnsi" w:cs="Arial"/>
          <w:color w:val="000000"/>
        </w:rPr>
        <w:tab/>
      </w:r>
      <w:hyperlink r:id="rId23" w:history="1">
        <w:r w:rsidR="002B7821" w:rsidRPr="002B7821">
          <w:rPr>
            <w:rStyle w:val="Hyperlink"/>
          </w:rPr>
          <w:t>CARAP</w:t>
        </w:r>
      </w:hyperlink>
      <w:r w:rsidR="002B7821">
        <w:t xml:space="preserve"> - </w:t>
      </w:r>
      <w:r w:rsidR="002B7821" w:rsidRPr="002B7821">
        <w:t>mise en œuvre</w:t>
      </w:r>
    </w:p>
    <w:p w14:paraId="6D1141F2" w14:textId="1C843C6B" w:rsidR="0025120B" w:rsidRPr="009010C0" w:rsidRDefault="009010C0" w:rsidP="009010C0">
      <w:pPr>
        <w:pStyle w:val="Listenabsatz"/>
        <w:numPr>
          <w:ilvl w:val="0"/>
          <w:numId w:val="17"/>
        </w:numPr>
        <w:autoSpaceDN/>
        <w:spacing w:after="200" w:line="264" w:lineRule="auto"/>
        <w:ind w:left="284"/>
        <w:jc w:val="both"/>
        <w:textAlignment w:val="auto"/>
        <w:rPr>
          <w:rFonts w:cs="Calibri"/>
          <w:b/>
          <w:kern w:val="2"/>
          <w:lang w:eastAsia="en-US" w:bidi="ar-SA"/>
          <w14:ligatures w14:val="standardContextual"/>
        </w:rPr>
      </w:pPr>
      <w:r w:rsidRPr="009010C0">
        <w:rPr>
          <w:rFonts w:cs="Calibri"/>
          <w:b/>
          <w:kern w:val="2"/>
          <w:lang w:eastAsia="en-US" w:bidi="ar-SA"/>
          <w14:ligatures w14:val="standardContextual"/>
        </w:rPr>
        <w:t xml:space="preserve">Favoriser l’apprentissage de la langue 2 au travail pour les </w:t>
      </w:r>
      <w:proofErr w:type="spellStart"/>
      <w:r w:rsidRPr="009010C0">
        <w:rPr>
          <w:rFonts w:cs="Calibri"/>
          <w:b/>
          <w:kern w:val="2"/>
          <w:lang w:eastAsia="en-US" w:bidi="ar-SA"/>
          <w14:ligatures w14:val="standardContextual"/>
        </w:rPr>
        <w:t>migrant·es</w:t>
      </w:r>
      <w:proofErr w:type="spellEnd"/>
      <w:r w:rsidRPr="009010C0">
        <w:rPr>
          <w:rFonts w:cs="Calibri"/>
          <w:b/>
          <w:kern w:val="2"/>
          <w:lang w:eastAsia="en-US" w:bidi="ar-SA"/>
          <w14:ligatures w14:val="standardContextual"/>
        </w:rPr>
        <w:t xml:space="preserve"> adultes et les minorités ethniques</w:t>
      </w:r>
    </w:p>
    <w:p w14:paraId="5F26D7D4" w14:textId="77777777" w:rsidR="009010C0" w:rsidRDefault="009010C0" w:rsidP="00A04414">
      <w:pPr>
        <w:pStyle w:val="Listenabsatz"/>
        <w:autoSpaceDN/>
        <w:spacing w:after="0" w:line="264" w:lineRule="auto"/>
        <w:ind w:left="284"/>
        <w:jc w:val="both"/>
        <w:textAlignment w:val="auto"/>
        <w:rPr>
          <w:rFonts w:cs="Calibri"/>
        </w:rPr>
      </w:pPr>
      <w:r w:rsidRPr="009010C0">
        <w:rPr>
          <w:rFonts w:cs="Calibri"/>
        </w:rPr>
        <w:t xml:space="preserve">Offrir des conseils pratiques aux </w:t>
      </w:r>
      <w:proofErr w:type="spellStart"/>
      <w:r w:rsidRPr="009010C0">
        <w:rPr>
          <w:rFonts w:cs="Calibri"/>
        </w:rPr>
        <w:t>professionnel·les</w:t>
      </w:r>
      <w:proofErr w:type="spellEnd"/>
      <w:r w:rsidRPr="009010C0">
        <w:rPr>
          <w:rFonts w:cs="Calibri"/>
        </w:rPr>
        <w:t xml:space="preserve"> travaillant dans le domaine du soutien linguistique aux </w:t>
      </w:r>
      <w:proofErr w:type="spellStart"/>
      <w:r w:rsidRPr="009010C0">
        <w:rPr>
          <w:rFonts w:cs="Calibri"/>
        </w:rPr>
        <w:t>migrant·es</w:t>
      </w:r>
      <w:proofErr w:type="spellEnd"/>
      <w:r w:rsidRPr="009010C0">
        <w:rPr>
          <w:rFonts w:cs="Calibri"/>
        </w:rPr>
        <w:t xml:space="preserve"> adultes afin de leur permettre de participer au marché du travail et de développer leurs compétences linguistiques</w:t>
      </w:r>
    </w:p>
    <w:p w14:paraId="37E427FA" w14:textId="404C7685" w:rsidR="002C17E5" w:rsidRPr="00B47D41" w:rsidRDefault="009010C0" w:rsidP="00AB6FBC">
      <w:pPr>
        <w:pStyle w:val="Listenabsatz"/>
        <w:tabs>
          <w:tab w:val="right" w:pos="9214"/>
        </w:tabs>
        <w:autoSpaceDN/>
        <w:spacing w:after="0" w:line="264" w:lineRule="auto"/>
        <w:ind w:left="284"/>
        <w:jc w:val="both"/>
        <w:textAlignment w:val="auto"/>
        <w:rPr>
          <w:color w:val="0563C1"/>
          <w:u w:val="single"/>
        </w:rPr>
      </w:pPr>
      <w:r>
        <w:rPr>
          <w:rFonts w:asciiTheme="minorHAnsi" w:hAnsiTheme="minorHAnsi" w:cs="Arial"/>
        </w:rPr>
        <w:t>L</w:t>
      </w:r>
      <w:r w:rsidR="0025120B" w:rsidRPr="00FE7579">
        <w:rPr>
          <w:rFonts w:asciiTheme="minorHAnsi" w:hAnsiTheme="minorHAnsi"/>
          <w:color w:val="000000"/>
        </w:rPr>
        <w:t xml:space="preserve">angues de travail : </w:t>
      </w:r>
      <w:r w:rsidR="008916B1" w:rsidRPr="00FE7579">
        <w:rPr>
          <w:rFonts w:asciiTheme="minorHAnsi" w:hAnsiTheme="minorHAnsi" w:cs="Arial"/>
          <w:color w:val="000000"/>
        </w:rPr>
        <w:t>anglais, français, allemand</w:t>
      </w:r>
      <w:r w:rsidR="0025120B" w:rsidRPr="00FE7579">
        <w:rPr>
          <w:rFonts w:asciiTheme="minorHAnsi" w:hAnsiTheme="minorHAnsi" w:cs="Arial"/>
        </w:rPr>
        <w:t>,</w:t>
      </w:r>
      <w:r w:rsidR="00F77010">
        <w:rPr>
          <w:rFonts w:asciiTheme="minorHAnsi" w:hAnsiTheme="minorHAnsi" w:cs="Arial"/>
        </w:rPr>
        <w:t xml:space="preserve"> italien, </w:t>
      </w:r>
      <w:r w:rsidR="00A01038" w:rsidRPr="00FE7579">
        <w:rPr>
          <w:rFonts w:asciiTheme="minorHAnsi" w:hAnsiTheme="minorHAnsi" w:cs="Arial"/>
        </w:rPr>
        <w:t>suédois</w:t>
      </w:r>
      <w:r w:rsidR="00AB6FBC">
        <w:rPr>
          <w:rFonts w:asciiTheme="minorHAnsi" w:hAnsiTheme="minorHAnsi" w:cs="Arial"/>
        </w:rPr>
        <w:tab/>
      </w:r>
      <w:hyperlink r:id="rId24" w:history="1">
        <w:r w:rsidR="002B7821" w:rsidRPr="002B7821">
          <w:rPr>
            <w:rStyle w:val="Hyperlink"/>
            <w:rFonts w:asciiTheme="minorHAnsi" w:hAnsiTheme="minorHAnsi" w:cs="Arial"/>
          </w:rPr>
          <w:t>La langue pour le travail</w:t>
        </w:r>
      </w:hyperlink>
    </w:p>
    <w:sectPr w:rsidR="002C17E5" w:rsidRPr="00B47D41" w:rsidSect="004D7526">
      <w:footerReference w:type="default" r:id="rId25"/>
      <w:headerReference w:type="first" r:id="rId26"/>
      <w:footerReference w:type="first" r:id="rId27"/>
      <w:pgSz w:w="12240" w:h="15840" w:code="1"/>
      <w:pgMar w:top="1134" w:right="1440" w:bottom="284" w:left="1440" w:header="284" w:footer="11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6E66B" w14:textId="77777777" w:rsidR="003531B1" w:rsidRDefault="003531B1">
      <w:pPr>
        <w:spacing w:after="0" w:line="240" w:lineRule="auto"/>
      </w:pPr>
      <w:r>
        <w:separator/>
      </w:r>
    </w:p>
  </w:endnote>
  <w:endnote w:type="continuationSeparator" w:id="0">
    <w:p w14:paraId="57BDE80C" w14:textId="77777777" w:rsidR="003531B1" w:rsidRDefault="0035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D17DA" w14:textId="77777777" w:rsidR="003531B1" w:rsidRDefault="003531B1" w:rsidP="00616974">
    <w:pPr>
      <w:pStyle w:val="Fuzeile"/>
      <w:tabs>
        <w:tab w:val="clear" w:pos="9072"/>
      </w:tabs>
      <w:ind w:right="1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0E74C" w14:textId="0FFE1C42" w:rsidR="003531B1" w:rsidRDefault="00326CD8" w:rsidP="00616974">
    <w:pPr>
      <w:pStyle w:val="Fuzeile"/>
      <w:tabs>
        <w:tab w:val="clear" w:pos="9072"/>
      </w:tabs>
      <w:jc w:val="right"/>
    </w:pPr>
    <w:r>
      <w:rPr>
        <w:noProof/>
      </w:rPr>
      <w:drawing>
        <wp:inline distT="0" distB="0" distL="0" distR="0" wp14:anchorId="228ED73C" wp14:editId="5CE3E8AB">
          <wp:extent cx="2151380" cy="732155"/>
          <wp:effectExtent l="0" t="0" r="1270" b="0"/>
          <wp:docPr id="1130587780" name="Picture 20" descr="A blue and yellow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0" descr="A blue and yellow sign with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13924" w14:textId="77777777" w:rsidR="003531B1" w:rsidRDefault="003531B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DB94A" w14:textId="77777777" w:rsidR="003531B1" w:rsidRDefault="003531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EFF9A" w14:textId="77777777" w:rsidR="003531B1" w:rsidRDefault="003531B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F70CE8" w14:textId="77777777" w:rsidR="003531B1" w:rsidRDefault="0035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27430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51AED" w14:textId="77777777" w:rsidR="003531B1" w:rsidRDefault="00616974" w:rsidP="00616974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A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2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4"/>
      <w:gridCol w:w="7645"/>
    </w:tblGrid>
    <w:tr w:rsidR="00326CD8" w:rsidRPr="00B82C1F" w14:paraId="3EC9782B" w14:textId="77777777" w:rsidTr="00174EA0">
      <w:trPr>
        <w:trHeight w:val="429"/>
      </w:trPr>
      <w:tc>
        <w:tcPr>
          <w:tcW w:w="9629" w:type="dxa"/>
          <w:gridSpan w:val="2"/>
          <w:vAlign w:val="center"/>
        </w:tcPr>
        <w:p w14:paraId="7F8C2737" w14:textId="77777777" w:rsidR="00326CD8" w:rsidRPr="00735B2A" w:rsidRDefault="00326CD8" w:rsidP="00326CD8">
          <w:pPr>
            <w:pStyle w:val="Kopfzeile"/>
            <w:rPr>
              <w:b/>
              <w:bCs/>
              <w:szCs w:val="28"/>
            </w:rPr>
          </w:pPr>
          <w:r w:rsidRPr="004A6A16">
            <w:rPr>
              <w:b/>
              <w:bCs/>
              <w:color w:val="3B3838" w:themeColor="background2" w:themeShade="40"/>
              <w:szCs w:val="28"/>
            </w:rPr>
            <w:t>ECML PROGRAMME – PROGRAMME DU CELV – EFSZ-PROGRAMM 2024-2027</w:t>
          </w:r>
        </w:p>
      </w:tc>
    </w:tr>
    <w:tr w:rsidR="00326CD8" w:rsidRPr="00735B2A" w14:paraId="4269A912" w14:textId="77777777" w:rsidTr="00174EA0">
      <w:trPr>
        <w:trHeight w:val="859"/>
      </w:trPr>
      <w:tc>
        <w:tcPr>
          <w:tcW w:w="1984" w:type="dxa"/>
          <w:vAlign w:val="bottom"/>
        </w:tcPr>
        <w:p w14:paraId="5213E7F4" w14:textId="77777777" w:rsidR="00326CD8" w:rsidRDefault="00326CD8" w:rsidP="00326CD8">
          <w:pPr>
            <w:pStyle w:val="Kopfzeile"/>
            <w:jc w:val="center"/>
            <w:rPr>
              <w:sz w:val="18"/>
            </w:rPr>
          </w:pPr>
          <w:r>
            <w:rPr>
              <w:noProof/>
            </w:rPr>
            <w:drawing>
              <wp:inline distT="0" distB="0" distL="0" distR="0" wp14:anchorId="6A87F62C" wp14:editId="7CFBDFA1">
                <wp:extent cx="819150" cy="630774"/>
                <wp:effectExtent l="0" t="0" r="0" b="0"/>
                <wp:docPr id="10153087" name="Picture 2046855211" descr="A heart shaped logo with pink and green color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3158245" name="Picture 1" descr="A heart shaped logo with pink and green colors&#10;&#10;Description automatically generated with medium confidenc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9349" cy="6540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5" w:type="dxa"/>
        </w:tcPr>
        <w:p w14:paraId="60B66FC7" w14:textId="77777777" w:rsidR="00326CD8" w:rsidRPr="00A91CF4" w:rsidRDefault="00326CD8" w:rsidP="00326CD8">
          <w:pPr>
            <w:pStyle w:val="Kopfzeile"/>
            <w:spacing w:line="276" w:lineRule="auto"/>
            <w:rPr>
              <w:b/>
              <w:bCs/>
              <w:color w:val="669900"/>
              <w:sz w:val="23"/>
              <w:szCs w:val="23"/>
              <w:lang w:val="en-US"/>
            </w:rPr>
          </w:pPr>
          <w:r w:rsidRPr="00A91CF4">
            <w:rPr>
              <w:b/>
              <w:bCs/>
              <w:color w:val="669900"/>
              <w:sz w:val="23"/>
              <w:szCs w:val="23"/>
              <w:lang w:val="en-US"/>
            </w:rPr>
            <w:t>Language education at the heart of democracy</w:t>
          </w:r>
        </w:p>
        <w:p w14:paraId="51EB13F6" w14:textId="77777777" w:rsidR="00326CD8" w:rsidRPr="00FA72DD" w:rsidRDefault="00326CD8" w:rsidP="00326CD8">
          <w:pPr>
            <w:pStyle w:val="Kopfzeile"/>
            <w:spacing w:line="276" w:lineRule="auto"/>
            <w:rPr>
              <w:b/>
              <w:bCs/>
              <w:color w:val="E83E75"/>
              <w:szCs w:val="28"/>
              <w:lang w:val="de-AT"/>
            </w:rPr>
          </w:pPr>
          <w:proofErr w:type="spellStart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L’éducation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aux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 xml:space="preserve">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langues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 xml:space="preserve"> au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cœur</w:t>
          </w:r>
          <w:proofErr w:type="spellEnd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 xml:space="preserve"> de la </w:t>
          </w:r>
          <w:proofErr w:type="spellStart"/>
          <w:r w:rsidRPr="00A91CF4">
            <w:rPr>
              <w:b/>
              <w:bCs/>
              <w:color w:val="E83E75"/>
              <w:sz w:val="23"/>
              <w:szCs w:val="23"/>
              <w:lang w:val="de-AT"/>
            </w:rPr>
            <w:t>démocratie</w:t>
          </w:r>
          <w:proofErr w:type="spellEnd"/>
          <w:r>
            <w:rPr>
              <w:b/>
              <w:bCs/>
              <w:color w:val="E83E75"/>
              <w:sz w:val="23"/>
              <w:szCs w:val="23"/>
              <w:lang w:val="de-AT"/>
            </w:rPr>
            <w:br/>
          </w:r>
          <w:r w:rsidRPr="00A91CF4">
            <w:rPr>
              <w:b/>
              <w:bCs/>
              <w:color w:val="F9B030"/>
              <w:sz w:val="23"/>
              <w:szCs w:val="23"/>
              <w:lang w:val="de-AT"/>
            </w:rPr>
            <w:t>Sprachliche Bildung als Herzstück der Demokratie</w:t>
          </w:r>
        </w:p>
      </w:tc>
    </w:tr>
  </w:tbl>
  <w:p w14:paraId="3BE08193" w14:textId="7C3D593F" w:rsidR="003531B1" w:rsidRPr="007A7C5B" w:rsidRDefault="003531B1" w:rsidP="0088347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63481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64865E2" w14:textId="77777777" w:rsidR="003531B1" w:rsidRDefault="00F90B96" w:rsidP="00B4587C">
        <w:pPr>
          <w:pStyle w:val="Kopf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A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43FA"/>
    <w:multiLevelType w:val="multilevel"/>
    <w:tmpl w:val="0BFAB5C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5A10CD"/>
    <w:multiLevelType w:val="hybridMultilevel"/>
    <w:tmpl w:val="5F082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0F9A"/>
    <w:multiLevelType w:val="hybridMultilevel"/>
    <w:tmpl w:val="F948079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224B"/>
    <w:multiLevelType w:val="hybridMultilevel"/>
    <w:tmpl w:val="A298082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01B8D"/>
    <w:multiLevelType w:val="multilevel"/>
    <w:tmpl w:val="613A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D13E7"/>
    <w:multiLevelType w:val="hybridMultilevel"/>
    <w:tmpl w:val="56C89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B6805"/>
    <w:multiLevelType w:val="multilevel"/>
    <w:tmpl w:val="B5DC4C1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603232C"/>
    <w:multiLevelType w:val="hybridMultilevel"/>
    <w:tmpl w:val="77DC99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3F4"/>
    <w:multiLevelType w:val="hybridMultilevel"/>
    <w:tmpl w:val="8C865F6C"/>
    <w:lvl w:ilvl="0" w:tplc="102A81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144D2"/>
    <w:multiLevelType w:val="hybridMultilevel"/>
    <w:tmpl w:val="151E9C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40446E"/>
    <w:multiLevelType w:val="hybridMultilevel"/>
    <w:tmpl w:val="F97A4BD6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4301B"/>
    <w:multiLevelType w:val="hybridMultilevel"/>
    <w:tmpl w:val="8C6ED0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129B"/>
    <w:multiLevelType w:val="multilevel"/>
    <w:tmpl w:val="069CCEFC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"/>
      <w:lvlJc w:val="left"/>
      <w:pPr>
        <w:ind w:left="1080" w:hanging="360"/>
      </w:pPr>
      <w:rPr>
        <w:rFonts w:ascii="Wingdings" w:hAnsi="Wingdings"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3" w15:restartNumberingAfterBreak="0">
    <w:nsid w:val="39FC439B"/>
    <w:multiLevelType w:val="hybridMultilevel"/>
    <w:tmpl w:val="C72EED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60BE"/>
    <w:multiLevelType w:val="hybridMultilevel"/>
    <w:tmpl w:val="B7328AF4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815E2"/>
    <w:multiLevelType w:val="hybridMultilevel"/>
    <w:tmpl w:val="15085328"/>
    <w:lvl w:ilvl="0" w:tplc="7D1AB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C37ED"/>
    <w:multiLevelType w:val="hybridMultilevel"/>
    <w:tmpl w:val="97FAD2A0"/>
    <w:lvl w:ilvl="0" w:tplc="C90EC0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F1B2D"/>
    <w:multiLevelType w:val="hybridMultilevel"/>
    <w:tmpl w:val="77DC99E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A735B"/>
    <w:multiLevelType w:val="hybridMultilevel"/>
    <w:tmpl w:val="5B50A8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FA1583"/>
    <w:multiLevelType w:val="hybridMultilevel"/>
    <w:tmpl w:val="F66EA1AC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14D1E56"/>
    <w:multiLevelType w:val="hybridMultilevel"/>
    <w:tmpl w:val="60647B6E"/>
    <w:lvl w:ilvl="0" w:tplc="55D440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F4D26"/>
    <w:multiLevelType w:val="hybridMultilevel"/>
    <w:tmpl w:val="F854502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924F9E"/>
    <w:multiLevelType w:val="hybridMultilevel"/>
    <w:tmpl w:val="3332662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8A6688"/>
    <w:multiLevelType w:val="hybridMultilevel"/>
    <w:tmpl w:val="2B52752C"/>
    <w:lvl w:ilvl="0" w:tplc="040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num w:numId="1" w16cid:durableId="2027558035">
    <w:abstractNumId w:val="12"/>
  </w:num>
  <w:num w:numId="2" w16cid:durableId="109593970">
    <w:abstractNumId w:val="2"/>
  </w:num>
  <w:num w:numId="3" w16cid:durableId="557087759">
    <w:abstractNumId w:val="10"/>
  </w:num>
  <w:num w:numId="4" w16cid:durableId="996766989">
    <w:abstractNumId w:val="14"/>
  </w:num>
  <w:num w:numId="5" w16cid:durableId="1132945279">
    <w:abstractNumId w:val="16"/>
  </w:num>
  <w:num w:numId="6" w16cid:durableId="8528325">
    <w:abstractNumId w:val="3"/>
  </w:num>
  <w:num w:numId="7" w16cid:durableId="1657109008">
    <w:abstractNumId w:val="11"/>
  </w:num>
  <w:num w:numId="8" w16cid:durableId="1918249219">
    <w:abstractNumId w:val="8"/>
  </w:num>
  <w:num w:numId="9" w16cid:durableId="993414118">
    <w:abstractNumId w:val="20"/>
  </w:num>
  <w:num w:numId="10" w16cid:durableId="486672797">
    <w:abstractNumId w:val="9"/>
  </w:num>
  <w:num w:numId="11" w16cid:durableId="397439039">
    <w:abstractNumId w:val="19"/>
  </w:num>
  <w:num w:numId="12" w16cid:durableId="821232664">
    <w:abstractNumId w:val="23"/>
  </w:num>
  <w:num w:numId="13" w16cid:durableId="1339311311">
    <w:abstractNumId w:val="15"/>
  </w:num>
  <w:num w:numId="14" w16cid:durableId="616260485">
    <w:abstractNumId w:val="4"/>
  </w:num>
  <w:num w:numId="15" w16cid:durableId="138426265">
    <w:abstractNumId w:val="1"/>
  </w:num>
  <w:num w:numId="16" w16cid:durableId="1094932027">
    <w:abstractNumId w:val="22"/>
  </w:num>
  <w:num w:numId="17" w16cid:durableId="993530036">
    <w:abstractNumId w:val="5"/>
  </w:num>
  <w:num w:numId="18" w16cid:durableId="113329629">
    <w:abstractNumId w:val="13"/>
  </w:num>
  <w:num w:numId="19" w16cid:durableId="1909724587">
    <w:abstractNumId w:val="21"/>
  </w:num>
  <w:num w:numId="20" w16cid:durableId="1900096003">
    <w:abstractNumId w:val="17"/>
  </w:num>
  <w:num w:numId="21" w16cid:durableId="1020085010">
    <w:abstractNumId w:val="7"/>
  </w:num>
  <w:num w:numId="22" w16cid:durableId="332610437">
    <w:abstractNumId w:val="6"/>
  </w:num>
  <w:num w:numId="23" w16cid:durableId="1661890062">
    <w:abstractNumId w:val="0"/>
  </w:num>
  <w:num w:numId="24" w16cid:durableId="15351469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autoHyphenation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7F"/>
    <w:rsid w:val="00007970"/>
    <w:rsid w:val="000100D0"/>
    <w:rsid w:val="00010BC9"/>
    <w:rsid w:val="0001150B"/>
    <w:rsid w:val="000168A9"/>
    <w:rsid w:val="000201EC"/>
    <w:rsid w:val="00027C02"/>
    <w:rsid w:val="000322DD"/>
    <w:rsid w:val="0003316D"/>
    <w:rsid w:val="0003726B"/>
    <w:rsid w:val="0004771E"/>
    <w:rsid w:val="00053F9F"/>
    <w:rsid w:val="00062D13"/>
    <w:rsid w:val="00066238"/>
    <w:rsid w:val="00067124"/>
    <w:rsid w:val="00067C9A"/>
    <w:rsid w:val="00073182"/>
    <w:rsid w:val="00073A7C"/>
    <w:rsid w:val="000767A8"/>
    <w:rsid w:val="000771BF"/>
    <w:rsid w:val="000801DB"/>
    <w:rsid w:val="000825B0"/>
    <w:rsid w:val="0008331E"/>
    <w:rsid w:val="000851EB"/>
    <w:rsid w:val="0009220D"/>
    <w:rsid w:val="0009781B"/>
    <w:rsid w:val="000A3487"/>
    <w:rsid w:val="000A682F"/>
    <w:rsid w:val="000B6F3D"/>
    <w:rsid w:val="000C3EF9"/>
    <w:rsid w:val="000C5145"/>
    <w:rsid w:val="000C7FD2"/>
    <w:rsid w:val="000D132A"/>
    <w:rsid w:val="000D3527"/>
    <w:rsid w:val="000D506E"/>
    <w:rsid w:val="000D5F1B"/>
    <w:rsid w:val="000D7A00"/>
    <w:rsid w:val="000E3A60"/>
    <w:rsid w:val="00107A1B"/>
    <w:rsid w:val="0011728E"/>
    <w:rsid w:val="00120526"/>
    <w:rsid w:val="00125A15"/>
    <w:rsid w:val="00143E12"/>
    <w:rsid w:val="00150A4B"/>
    <w:rsid w:val="00150DDA"/>
    <w:rsid w:val="00152426"/>
    <w:rsid w:val="001606EA"/>
    <w:rsid w:val="00164AD5"/>
    <w:rsid w:val="001670D3"/>
    <w:rsid w:val="00177AD3"/>
    <w:rsid w:val="00181C0E"/>
    <w:rsid w:val="00196461"/>
    <w:rsid w:val="00197F0D"/>
    <w:rsid w:val="001A2AB1"/>
    <w:rsid w:val="001B33C4"/>
    <w:rsid w:val="001B39C0"/>
    <w:rsid w:val="001C57AB"/>
    <w:rsid w:val="001C7B4C"/>
    <w:rsid w:val="001D6B11"/>
    <w:rsid w:val="001E388B"/>
    <w:rsid w:val="001E4D55"/>
    <w:rsid w:val="001E6E89"/>
    <w:rsid w:val="001F06A5"/>
    <w:rsid w:val="001F2E44"/>
    <w:rsid w:val="00201F93"/>
    <w:rsid w:val="00203F97"/>
    <w:rsid w:val="002266BD"/>
    <w:rsid w:val="00230064"/>
    <w:rsid w:val="0023751D"/>
    <w:rsid w:val="0024060C"/>
    <w:rsid w:val="00241103"/>
    <w:rsid w:val="00241EC3"/>
    <w:rsid w:val="0024366B"/>
    <w:rsid w:val="00247ADE"/>
    <w:rsid w:val="0025120B"/>
    <w:rsid w:val="0025392A"/>
    <w:rsid w:val="00257575"/>
    <w:rsid w:val="002578B0"/>
    <w:rsid w:val="00272BC0"/>
    <w:rsid w:val="00274FD6"/>
    <w:rsid w:val="00291D63"/>
    <w:rsid w:val="00292A81"/>
    <w:rsid w:val="00293A98"/>
    <w:rsid w:val="002A57C2"/>
    <w:rsid w:val="002B7416"/>
    <w:rsid w:val="002B7821"/>
    <w:rsid w:val="002C17E5"/>
    <w:rsid w:val="002D1BE3"/>
    <w:rsid w:val="002E3998"/>
    <w:rsid w:val="00300B97"/>
    <w:rsid w:val="00300C8C"/>
    <w:rsid w:val="00301B49"/>
    <w:rsid w:val="003067B8"/>
    <w:rsid w:val="00310F9C"/>
    <w:rsid w:val="00317BE8"/>
    <w:rsid w:val="003222B7"/>
    <w:rsid w:val="00323ECA"/>
    <w:rsid w:val="00324917"/>
    <w:rsid w:val="00326CD8"/>
    <w:rsid w:val="00332F21"/>
    <w:rsid w:val="00334AA2"/>
    <w:rsid w:val="00334BFC"/>
    <w:rsid w:val="003367E9"/>
    <w:rsid w:val="003426D7"/>
    <w:rsid w:val="00343A90"/>
    <w:rsid w:val="0034491C"/>
    <w:rsid w:val="003531B1"/>
    <w:rsid w:val="00357DE3"/>
    <w:rsid w:val="0036239E"/>
    <w:rsid w:val="003647E9"/>
    <w:rsid w:val="0037387E"/>
    <w:rsid w:val="00393FEF"/>
    <w:rsid w:val="003972F5"/>
    <w:rsid w:val="003A1036"/>
    <w:rsid w:val="003A2FB6"/>
    <w:rsid w:val="003A67C8"/>
    <w:rsid w:val="003B4337"/>
    <w:rsid w:val="003C2A85"/>
    <w:rsid w:val="003D2059"/>
    <w:rsid w:val="003E729B"/>
    <w:rsid w:val="003F01EE"/>
    <w:rsid w:val="004022A2"/>
    <w:rsid w:val="004160F9"/>
    <w:rsid w:val="004173B9"/>
    <w:rsid w:val="0041776F"/>
    <w:rsid w:val="00423FDF"/>
    <w:rsid w:val="004273A3"/>
    <w:rsid w:val="00447444"/>
    <w:rsid w:val="004510CE"/>
    <w:rsid w:val="004558E5"/>
    <w:rsid w:val="004563E0"/>
    <w:rsid w:val="00456623"/>
    <w:rsid w:val="00457BF3"/>
    <w:rsid w:val="0046102B"/>
    <w:rsid w:val="00461398"/>
    <w:rsid w:val="0046597A"/>
    <w:rsid w:val="004777E7"/>
    <w:rsid w:val="00491AD2"/>
    <w:rsid w:val="0049502C"/>
    <w:rsid w:val="00495515"/>
    <w:rsid w:val="004A22D6"/>
    <w:rsid w:val="004B0908"/>
    <w:rsid w:val="004B72B9"/>
    <w:rsid w:val="004D7526"/>
    <w:rsid w:val="004E345E"/>
    <w:rsid w:val="004E6ADB"/>
    <w:rsid w:val="004E6FC0"/>
    <w:rsid w:val="00514E56"/>
    <w:rsid w:val="005243D7"/>
    <w:rsid w:val="00525EE0"/>
    <w:rsid w:val="005319F1"/>
    <w:rsid w:val="00544172"/>
    <w:rsid w:val="00544511"/>
    <w:rsid w:val="00546E40"/>
    <w:rsid w:val="00556141"/>
    <w:rsid w:val="00562A0C"/>
    <w:rsid w:val="005654B4"/>
    <w:rsid w:val="00574189"/>
    <w:rsid w:val="00580BE5"/>
    <w:rsid w:val="005931BA"/>
    <w:rsid w:val="005952BD"/>
    <w:rsid w:val="00596A25"/>
    <w:rsid w:val="00596CA7"/>
    <w:rsid w:val="005970F6"/>
    <w:rsid w:val="005A0090"/>
    <w:rsid w:val="005A25B3"/>
    <w:rsid w:val="005A338E"/>
    <w:rsid w:val="005A48DD"/>
    <w:rsid w:val="005A4C8C"/>
    <w:rsid w:val="005A52BB"/>
    <w:rsid w:val="005A6428"/>
    <w:rsid w:val="005B24FE"/>
    <w:rsid w:val="005B687D"/>
    <w:rsid w:val="005C0EF8"/>
    <w:rsid w:val="005C7517"/>
    <w:rsid w:val="005C7B95"/>
    <w:rsid w:val="005D0E36"/>
    <w:rsid w:val="005D1ED8"/>
    <w:rsid w:val="005D40C1"/>
    <w:rsid w:val="005E64B1"/>
    <w:rsid w:val="005F3011"/>
    <w:rsid w:val="005F5B2F"/>
    <w:rsid w:val="006049E9"/>
    <w:rsid w:val="006077CF"/>
    <w:rsid w:val="00612042"/>
    <w:rsid w:val="006130E5"/>
    <w:rsid w:val="00613C31"/>
    <w:rsid w:val="00616974"/>
    <w:rsid w:val="00624C31"/>
    <w:rsid w:val="00640CC4"/>
    <w:rsid w:val="00644474"/>
    <w:rsid w:val="00644B14"/>
    <w:rsid w:val="0064670F"/>
    <w:rsid w:val="0065483C"/>
    <w:rsid w:val="00656D80"/>
    <w:rsid w:val="00657D25"/>
    <w:rsid w:val="006628F8"/>
    <w:rsid w:val="00663065"/>
    <w:rsid w:val="0066357F"/>
    <w:rsid w:val="006662C3"/>
    <w:rsid w:val="006742E1"/>
    <w:rsid w:val="00676879"/>
    <w:rsid w:val="0067733C"/>
    <w:rsid w:val="00683930"/>
    <w:rsid w:val="006A00CF"/>
    <w:rsid w:val="006A0FCE"/>
    <w:rsid w:val="006A67C9"/>
    <w:rsid w:val="006B2953"/>
    <w:rsid w:val="006B56B1"/>
    <w:rsid w:val="006C0063"/>
    <w:rsid w:val="006C2D19"/>
    <w:rsid w:val="006E3E8F"/>
    <w:rsid w:val="006E3EF4"/>
    <w:rsid w:val="006E7ED8"/>
    <w:rsid w:val="006F37C6"/>
    <w:rsid w:val="007010DC"/>
    <w:rsid w:val="007048E9"/>
    <w:rsid w:val="007054F2"/>
    <w:rsid w:val="00706D6E"/>
    <w:rsid w:val="00715673"/>
    <w:rsid w:val="00730713"/>
    <w:rsid w:val="00736FD8"/>
    <w:rsid w:val="00744B93"/>
    <w:rsid w:val="00750867"/>
    <w:rsid w:val="00755E8D"/>
    <w:rsid w:val="00760DCE"/>
    <w:rsid w:val="007661E1"/>
    <w:rsid w:val="007673AA"/>
    <w:rsid w:val="00767A1E"/>
    <w:rsid w:val="007710B3"/>
    <w:rsid w:val="00771812"/>
    <w:rsid w:val="00772A41"/>
    <w:rsid w:val="00773A90"/>
    <w:rsid w:val="0077692F"/>
    <w:rsid w:val="007812A5"/>
    <w:rsid w:val="00787C90"/>
    <w:rsid w:val="00792A1F"/>
    <w:rsid w:val="007938A6"/>
    <w:rsid w:val="007A7AB7"/>
    <w:rsid w:val="007A7C5B"/>
    <w:rsid w:val="007B4A02"/>
    <w:rsid w:val="007B5357"/>
    <w:rsid w:val="007B6A43"/>
    <w:rsid w:val="007C0BC0"/>
    <w:rsid w:val="007C2F92"/>
    <w:rsid w:val="007C7F4F"/>
    <w:rsid w:val="007E7A7A"/>
    <w:rsid w:val="007F339B"/>
    <w:rsid w:val="00801BD0"/>
    <w:rsid w:val="00816F6D"/>
    <w:rsid w:val="00817AEA"/>
    <w:rsid w:val="00817D85"/>
    <w:rsid w:val="00822506"/>
    <w:rsid w:val="008242A1"/>
    <w:rsid w:val="00837313"/>
    <w:rsid w:val="008413B2"/>
    <w:rsid w:val="00850829"/>
    <w:rsid w:val="00851EB3"/>
    <w:rsid w:val="008565AD"/>
    <w:rsid w:val="00867D16"/>
    <w:rsid w:val="00873F30"/>
    <w:rsid w:val="00874AF0"/>
    <w:rsid w:val="00883473"/>
    <w:rsid w:val="008916B1"/>
    <w:rsid w:val="008942B4"/>
    <w:rsid w:val="008944BC"/>
    <w:rsid w:val="00894A11"/>
    <w:rsid w:val="00896DD2"/>
    <w:rsid w:val="008A2094"/>
    <w:rsid w:val="008A20D6"/>
    <w:rsid w:val="008A6B6A"/>
    <w:rsid w:val="008B0771"/>
    <w:rsid w:val="008B091D"/>
    <w:rsid w:val="008B56FF"/>
    <w:rsid w:val="008B62C8"/>
    <w:rsid w:val="008D0D7E"/>
    <w:rsid w:val="008D1B8F"/>
    <w:rsid w:val="008D7172"/>
    <w:rsid w:val="008E24A9"/>
    <w:rsid w:val="008E492D"/>
    <w:rsid w:val="008F1269"/>
    <w:rsid w:val="008F3C68"/>
    <w:rsid w:val="009010C0"/>
    <w:rsid w:val="009037C4"/>
    <w:rsid w:val="00903AA3"/>
    <w:rsid w:val="00921C32"/>
    <w:rsid w:val="009228F5"/>
    <w:rsid w:val="00923C5F"/>
    <w:rsid w:val="009318E8"/>
    <w:rsid w:val="00934138"/>
    <w:rsid w:val="009341DF"/>
    <w:rsid w:val="0093494C"/>
    <w:rsid w:val="00935016"/>
    <w:rsid w:val="0094277A"/>
    <w:rsid w:val="00942EDB"/>
    <w:rsid w:val="009540E4"/>
    <w:rsid w:val="00954373"/>
    <w:rsid w:val="00954FAA"/>
    <w:rsid w:val="00960D43"/>
    <w:rsid w:val="009655C8"/>
    <w:rsid w:val="00971F04"/>
    <w:rsid w:val="00980D74"/>
    <w:rsid w:val="00987FD9"/>
    <w:rsid w:val="0099291B"/>
    <w:rsid w:val="00995010"/>
    <w:rsid w:val="009961A1"/>
    <w:rsid w:val="009962C1"/>
    <w:rsid w:val="009A7C17"/>
    <w:rsid w:val="009A7D8B"/>
    <w:rsid w:val="009B78A9"/>
    <w:rsid w:val="009B7F5B"/>
    <w:rsid w:val="009C34C4"/>
    <w:rsid w:val="009C7FB3"/>
    <w:rsid w:val="009D02DD"/>
    <w:rsid w:val="009D50EB"/>
    <w:rsid w:val="009E1D58"/>
    <w:rsid w:val="009E318A"/>
    <w:rsid w:val="009E4E34"/>
    <w:rsid w:val="009E6DF9"/>
    <w:rsid w:val="009F5210"/>
    <w:rsid w:val="009F539B"/>
    <w:rsid w:val="00A01038"/>
    <w:rsid w:val="00A04414"/>
    <w:rsid w:val="00A06F22"/>
    <w:rsid w:val="00A14010"/>
    <w:rsid w:val="00A153B6"/>
    <w:rsid w:val="00A17482"/>
    <w:rsid w:val="00A21B8E"/>
    <w:rsid w:val="00A21FB7"/>
    <w:rsid w:val="00A2316B"/>
    <w:rsid w:val="00A259DA"/>
    <w:rsid w:val="00A26E57"/>
    <w:rsid w:val="00A44440"/>
    <w:rsid w:val="00A445ED"/>
    <w:rsid w:val="00A45EA1"/>
    <w:rsid w:val="00A551FE"/>
    <w:rsid w:val="00A565DA"/>
    <w:rsid w:val="00A73841"/>
    <w:rsid w:val="00A74AC9"/>
    <w:rsid w:val="00A81476"/>
    <w:rsid w:val="00A87B68"/>
    <w:rsid w:val="00AB03D3"/>
    <w:rsid w:val="00AB1DDE"/>
    <w:rsid w:val="00AB44BA"/>
    <w:rsid w:val="00AB51CD"/>
    <w:rsid w:val="00AB6FBC"/>
    <w:rsid w:val="00AD3BF4"/>
    <w:rsid w:val="00AE01FE"/>
    <w:rsid w:val="00AE1DD8"/>
    <w:rsid w:val="00AE2F35"/>
    <w:rsid w:val="00AE3963"/>
    <w:rsid w:val="00AE4430"/>
    <w:rsid w:val="00AE5FBA"/>
    <w:rsid w:val="00B02191"/>
    <w:rsid w:val="00B03B08"/>
    <w:rsid w:val="00B07ED8"/>
    <w:rsid w:val="00B1177F"/>
    <w:rsid w:val="00B11EE4"/>
    <w:rsid w:val="00B12C14"/>
    <w:rsid w:val="00B160D2"/>
    <w:rsid w:val="00B17506"/>
    <w:rsid w:val="00B22334"/>
    <w:rsid w:val="00B25B82"/>
    <w:rsid w:val="00B26EF9"/>
    <w:rsid w:val="00B35CCE"/>
    <w:rsid w:val="00B35FA5"/>
    <w:rsid w:val="00B375A8"/>
    <w:rsid w:val="00B40F79"/>
    <w:rsid w:val="00B4560C"/>
    <w:rsid w:val="00B4587C"/>
    <w:rsid w:val="00B47D41"/>
    <w:rsid w:val="00B63297"/>
    <w:rsid w:val="00B67569"/>
    <w:rsid w:val="00B708AB"/>
    <w:rsid w:val="00B7276E"/>
    <w:rsid w:val="00B73683"/>
    <w:rsid w:val="00B752FC"/>
    <w:rsid w:val="00B811AC"/>
    <w:rsid w:val="00B83F01"/>
    <w:rsid w:val="00BA613E"/>
    <w:rsid w:val="00BB2C32"/>
    <w:rsid w:val="00BB6018"/>
    <w:rsid w:val="00BC11CE"/>
    <w:rsid w:val="00BC3B60"/>
    <w:rsid w:val="00BC7C56"/>
    <w:rsid w:val="00BD37A0"/>
    <w:rsid w:val="00BD4DB5"/>
    <w:rsid w:val="00BD51F7"/>
    <w:rsid w:val="00BE5795"/>
    <w:rsid w:val="00BE5D7F"/>
    <w:rsid w:val="00BE667B"/>
    <w:rsid w:val="00BE70EF"/>
    <w:rsid w:val="00BE7C29"/>
    <w:rsid w:val="00BF17D1"/>
    <w:rsid w:val="00BF22F8"/>
    <w:rsid w:val="00BF602D"/>
    <w:rsid w:val="00BF7082"/>
    <w:rsid w:val="00C11C54"/>
    <w:rsid w:val="00C21A54"/>
    <w:rsid w:val="00C227C9"/>
    <w:rsid w:val="00C22A68"/>
    <w:rsid w:val="00C23DEC"/>
    <w:rsid w:val="00C25235"/>
    <w:rsid w:val="00C26A75"/>
    <w:rsid w:val="00C321DE"/>
    <w:rsid w:val="00C328E7"/>
    <w:rsid w:val="00C502C6"/>
    <w:rsid w:val="00C62BAA"/>
    <w:rsid w:val="00C65FCA"/>
    <w:rsid w:val="00C67C70"/>
    <w:rsid w:val="00C74262"/>
    <w:rsid w:val="00C800D3"/>
    <w:rsid w:val="00C8105B"/>
    <w:rsid w:val="00C93EC7"/>
    <w:rsid w:val="00C974C2"/>
    <w:rsid w:val="00CA2CCE"/>
    <w:rsid w:val="00CD2BCC"/>
    <w:rsid w:val="00CE1352"/>
    <w:rsid w:val="00CE43F7"/>
    <w:rsid w:val="00CF2B69"/>
    <w:rsid w:val="00CF4489"/>
    <w:rsid w:val="00CF7FE0"/>
    <w:rsid w:val="00D10132"/>
    <w:rsid w:val="00D10990"/>
    <w:rsid w:val="00D10D54"/>
    <w:rsid w:val="00D139B0"/>
    <w:rsid w:val="00D1480A"/>
    <w:rsid w:val="00D309AB"/>
    <w:rsid w:val="00D363A7"/>
    <w:rsid w:val="00D40F74"/>
    <w:rsid w:val="00D52A19"/>
    <w:rsid w:val="00D549FC"/>
    <w:rsid w:val="00D67AF5"/>
    <w:rsid w:val="00D72E08"/>
    <w:rsid w:val="00D7376E"/>
    <w:rsid w:val="00D73CB6"/>
    <w:rsid w:val="00D74F5D"/>
    <w:rsid w:val="00D74FF9"/>
    <w:rsid w:val="00D75485"/>
    <w:rsid w:val="00D95FC4"/>
    <w:rsid w:val="00D97CF5"/>
    <w:rsid w:val="00DB1FFB"/>
    <w:rsid w:val="00DB6496"/>
    <w:rsid w:val="00DB71A5"/>
    <w:rsid w:val="00DD1CCA"/>
    <w:rsid w:val="00DD4A3E"/>
    <w:rsid w:val="00DD5EE1"/>
    <w:rsid w:val="00DE3A99"/>
    <w:rsid w:val="00DE77E5"/>
    <w:rsid w:val="00DF0B41"/>
    <w:rsid w:val="00DF2636"/>
    <w:rsid w:val="00DF5E04"/>
    <w:rsid w:val="00E160BC"/>
    <w:rsid w:val="00E162D2"/>
    <w:rsid w:val="00E201EF"/>
    <w:rsid w:val="00E22DCA"/>
    <w:rsid w:val="00E356FB"/>
    <w:rsid w:val="00E4120F"/>
    <w:rsid w:val="00E46DE9"/>
    <w:rsid w:val="00E51055"/>
    <w:rsid w:val="00E7470B"/>
    <w:rsid w:val="00E84BE0"/>
    <w:rsid w:val="00E94A1D"/>
    <w:rsid w:val="00E9525C"/>
    <w:rsid w:val="00E95AF2"/>
    <w:rsid w:val="00EA62C6"/>
    <w:rsid w:val="00EA6F91"/>
    <w:rsid w:val="00EB13B3"/>
    <w:rsid w:val="00EB2392"/>
    <w:rsid w:val="00EE1CB4"/>
    <w:rsid w:val="00EE4D8A"/>
    <w:rsid w:val="00EE6EDF"/>
    <w:rsid w:val="00F0611C"/>
    <w:rsid w:val="00F10A24"/>
    <w:rsid w:val="00F12F5D"/>
    <w:rsid w:val="00F265A3"/>
    <w:rsid w:val="00F274D4"/>
    <w:rsid w:val="00F303B6"/>
    <w:rsid w:val="00F30683"/>
    <w:rsid w:val="00F32802"/>
    <w:rsid w:val="00F32D2F"/>
    <w:rsid w:val="00F33437"/>
    <w:rsid w:val="00F37713"/>
    <w:rsid w:val="00F42340"/>
    <w:rsid w:val="00F43F74"/>
    <w:rsid w:val="00F5098B"/>
    <w:rsid w:val="00F52726"/>
    <w:rsid w:val="00F572B1"/>
    <w:rsid w:val="00F6015C"/>
    <w:rsid w:val="00F6327B"/>
    <w:rsid w:val="00F673AC"/>
    <w:rsid w:val="00F67F98"/>
    <w:rsid w:val="00F72CC6"/>
    <w:rsid w:val="00F73C7D"/>
    <w:rsid w:val="00F76B56"/>
    <w:rsid w:val="00F77010"/>
    <w:rsid w:val="00F81DD6"/>
    <w:rsid w:val="00F84B28"/>
    <w:rsid w:val="00F90B96"/>
    <w:rsid w:val="00F91DAC"/>
    <w:rsid w:val="00F95731"/>
    <w:rsid w:val="00FA0E8E"/>
    <w:rsid w:val="00FB778B"/>
    <w:rsid w:val="00FC03B7"/>
    <w:rsid w:val="00FC325C"/>
    <w:rsid w:val="00FC4FE5"/>
    <w:rsid w:val="00FC67E6"/>
    <w:rsid w:val="00FD1CF1"/>
    <w:rsid w:val="00FE50E0"/>
    <w:rsid w:val="00FE7579"/>
    <w:rsid w:val="00FF38B2"/>
    <w:rsid w:val="51B1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78986C05"/>
  <w15:docId w15:val="{22277E18-AD08-4912-A5FF-6D3CC409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F7FE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72A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47A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51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F7FE0"/>
    <w:pPr>
      <w:spacing w:after="0" w:line="100" w:lineRule="atLeast"/>
      <w:ind w:right="140"/>
      <w:jc w:val="both"/>
    </w:pPr>
    <w:rPr>
      <w:rFonts w:ascii="Times" w:eastAsia="Times New Roman" w:hAnsi="Times"/>
      <w:kern w:val="3"/>
      <w:sz w:val="20"/>
      <w:szCs w:val="20"/>
    </w:rPr>
  </w:style>
  <w:style w:type="character" w:customStyle="1" w:styleId="BodyTextChar">
    <w:name w:val="Body Text Char"/>
    <w:basedOn w:val="Absatz-Standardschriftart"/>
    <w:rsid w:val="00CF7FE0"/>
    <w:rPr>
      <w:rFonts w:ascii="Times" w:eastAsia="Times New Roman" w:hAnsi="Times" w:cs="Times New Roman"/>
      <w:kern w:val="3"/>
      <w:sz w:val="20"/>
      <w:szCs w:val="20"/>
      <w:lang w:val="fr-FR" w:eastAsia="fr-FR"/>
    </w:rPr>
  </w:style>
  <w:style w:type="paragraph" w:customStyle="1" w:styleId="ListParagraph1">
    <w:name w:val="List Paragraph1"/>
    <w:basedOn w:val="Standard"/>
    <w:rsid w:val="00CF7FE0"/>
    <w:pPr>
      <w:spacing w:after="200" w:line="276" w:lineRule="auto"/>
      <w:ind w:left="720"/>
    </w:pPr>
    <w:rPr>
      <w:kern w:val="3"/>
    </w:rPr>
  </w:style>
  <w:style w:type="character" w:styleId="Hyperlink">
    <w:name w:val="Hyperlink"/>
    <w:basedOn w:val="Absatz-Standardschriftart"/>
    <w:uiPriority w:val="99"/>
    <w:rsid w:val="00CF7FE0"/>
    <w:rPr>
      <w:color w:val="0563C1"/>
      <w:u w:val="single"/>
    </w:rPr>
  </w:style>
  <w:style w:type="paragraph" w:styleId="Endnotentext">
    <w:name w:val="endnote text"/>
    <w:basedOn w:val="Standard"/>
    <w:rsid w:val="00CF7FE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bsatz-Standardschriftart"/>
    <w:rsid w:val="00CF7FE0"/>
    <w:rPr>
      <w:sz w:val="20"/>
      <w:szCs w:val="20"/>
    </w:rPr>
  </w:style>
  <w:style w:type="character" w:styleId="Endnotenzeichen">
    <w:name w:val="endnote reference"/>
    <w:basedOn w:val="Absatz-Standardschriftart"/>
    <w:rsid w:val="00CF7FE0"/>
    <w:rPr>
      <w:position w:val="0"/>
      <w:vertAlign w:val="superscript"/>
    </w:rPr>
  </w:style>
  <w:style w:type="paragraph" w:styleId="Kopfzeile">
    <w:name w:val="header"/>
    <w:basedOn w:val="Standard"/>
    <w:link w:val="KopfzeileZchn"/>
    <w:uiPriority w:val="99"/>
    <w:rsid w:val="00CF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Absatz-Standardschriftart"/>
    <w:uiPriority w:val="99"/>
    <w:rsid w:val="00CF7FE0"/>
  </w:style>
  <w:style w:type="paragraph" w:styleId="Fuzeile">
    <w:name w:val="footer"/>
    <w:basedOn w:val="Standard"/>
    <w:rsid w:val="00CF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Absatz-Standardschriftart"/>
    <w:rsid w:val="00CF7FE0"/>
  </w:style>
  <w:style w:type="character" w:customStyle="1" w:styleId="berschrift2Zchn">
    <w:name w:val="Überschrift 2 Zchn"/>
    <w:basedOn w:val="Absatz-Standardschriftart"/>
    <w:link w:val="berschrift2"/>
    <w:uiPriority w:val="9"/>
    <w:rsid w:val="00247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72A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72A41"/>
    <w:pPr>
      <w:suppressAutoHyphens w:val="0"/>
      <w:autoSpaceDN/>
      <w:spacing w:line="259" w:lineRule="auto"/>
      <w:textAlignment w:val="auto"/>
      <w:outlineLvl w:val="9"/>
    </w:pPr>
  </w:style>
  <w:style w:type="paragraph" w:styleId="Verzeichnis2">
    <w:name w:val="toc 2"/>
    <w:basedOn w:val="Standard"/>
    <w:next w:val="Standard"/>
    <w:autoRedefine/>
    <w:uiPriority w:val="39"/>
    <w:unhideWhenUsed/>
    <w:rsid w:val="00873F30"/>
    <w:pPr>
      <w:tabs>
        <w:tab w:val="left" w:pos="2694"/>
        <w:tab w:val="right" w:leader="dot" w:pos="9350"/>
      </w:tabs>
      <w:spacing w:after="100"/>
      <w:ind w:firstLine="142"/>
    </w:pPr>
  </w:style>
  <w:style w:type="paragraph" w:styleId="StandardWeb">
    <w:name w:val="Normal (Web)"/>
    <w:basedOn w:val="Standard"/>
    <w:uiPriority w:val="99"/>
    <w:unhideWhenUsed/>
    <w:rsid w:val="00B708AB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708AB"/>
    <w:rPr>
      <w:b/>
      <w:bCs/>
    </w:rPr>
  </w:style>
  <w:style w:type="character" w:customStyle="1" w:styleId="apple-converted-space">
    <w:name w:val="apple-converted-space"/>
    <w:basedOn w:val="Absatz-Standardschriftart"/>
    <w:rsid w:val="00B708AB"/>
  </w:style>
  <w:style w:type="paragraph" w:styleId="Listenabsatz">
    <w:name w:val="List Paragraph"/>
    <w:basedOn w:val="Standard"/>
    <w:uiPriority w:val="34"/>
    <w:qFormat/>
    <w:rsid w:val="008242A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F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B7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2A2"/>
    <w:pPr>
      <w:autoSpaceDE w:val="0"/>
      <w:adjustRightInd w:val="0"/>
      <w:spacing w:after="0" w:line="240" w:lineRule="auto"/>
      <w:textAlignment w:val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0F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10F9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10F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0F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0F9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E5795"/>
    <w:pPr>
      <w:autoSpaceDN/>
      <w:spacing w:after="0" w:line="240" w:lineRule="auto"/>
      <w:textAlignment w:val="auto"/>
    </w:pPr>
  </w:style>
  <w:style w:type="paragraph" w:customStyle="1" w:styleId="Standa1">
    <w:name w:val="Standa1"/>
    <w:uiPriority w:val="99"/>
    <w:rsid w:val="00624C31"/>
    <w:pPr>
      <w:autoSpaceDN/>
      <w:spacing w:after="200" w:line="276" w:lineRule="auto"/>
      <w:textAlignment w:val="auto"/>
    </w:pPr>
    <w:rPr>
      <w:rFonts w:eastAsia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24C31"/>
    <w:pPr>
      <w:suppressAutoHyphens w:val="0"/>
      <w:autoSpaceDN/>
      <w:spacing w:after="200" w:line="276" w:lineRule="auto"/>
      <w:textAlignment w:val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4C31"/>
    <w:rPr>
      <w:sz w:val="20"/>
      <w:szCs w:val="20"/>
      <w:lang w:val="fr-FR"/>
    </w:rPr>
  </w:style>
  <w:style w:type="character" w:styleId="Funotenzeichen">
    <w:name w:val="footnote reference"/>
    <w:basedOn w:val="Absatz-Standardschriftart"/>
    <w:uiPriority w:val="99"/>
    <w:semiHidden/>
    <w:unhideWhenUsed/>
    <w:rsid w:val="00624C31"/>
    <w:rPr>
      <w:vertAlign w:val="superscript"/>
    </w:rPr>
  </w:style>
  <w:style w:type="character" w:customStyle="1" w:styleId="A5">
    <w:name w:val="A5"/>
    <w:uiPriority w:val="99"/>
    <w:rsid w:val="00C321DE"/>
    <w:rPr>
      <w:color w:val="000000"/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197F0D"/>
    <w:rPr>
      <w:color w:val="954F72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514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525C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883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ml.at/trainingandconsultancy" TargetMode="External"/><Relationship Id="rId13" Type="http://schemas.openxmlformats.org/officeDocument/2006/relationships/hyperlink" Target="https://www.ecml.at/TrainingConsultancy/Actionresearchcommunitiesforlanguageteachers/tabid/5913/language/fr-FR/Default.aspx" TargetMode="External"/><Relationship Id="rId18" Type="http://schemas.openxmlformats.org/officeDocument/2006/relationships/hyperlink" Target="https://www.ecml.at/TrainingConsultancy/Learningenvironmentswherelanguagesflourish/tabid/5915/language/fr-FR/Default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ecml.at/TrainingConsultancy/Plurilingualandinterculturaleducationinearlylanguagelearning/tabid/5924/language/fr-FR/Default.aspx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ecml.at/TrainingConsultancy/Fosteringdigitalcitizenshipthroughlanguageeducation/tabid/5919/language/fr-FR/Default.aspx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ecml.at/TrainingConsultancy/TheCEFRCompanionVolumeMediationandotherkeyconcepts2/tabid/5921/language/fr-FR/Default.aspx" TargetMode="External"/><Relationship Id="rId20" Type="http://schemas.openxmlformats.org/officeDocument/2006/relationships/hyperlink" Target="https://www.ecml.at/TrainingConsultancy/Plurilingualandinterculturaleducationteacherandlearnercompetences/tabid/5909/language/fr-FR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www.ecml.at/TrainingConsultancy/Languageforwork%E2%80%93Work-relatedsecondlanguagelearningforadultmigrantsandethnicminorities/tabid/5918/language/fr-FR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cml.at/TrainingConsultancy/TheCEFRCompanionVolumeMediationandotherkeyconcepts/tabid/5912/language/fr-FR/Default.aspx" TargetMode="External"/><Relationship Id="rId23" Type="http://schemas.openxmlformats.org/officeDocument/2006/relationships/hyperlink" Target="https://www.ecml.at/TrainingConsultancy/Stepstowardsimplementingplurilingualandinterculturaleducation/tabid/5916/language/fr-FR/Default.aspx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ecml.at/TrainingConsultancy/TheCEFRCompanionVolumeMediationandotherkeyconcepts2/tabid/5921/language/fr-FR/Default.asp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cml.at/TrainingConsultancy/BeyondCLIL%E2%80%93Pluriliteraciesteachingfordeeperlearning/tabid/5925/language/fr-FR/Default.aspx" TargetMode="External"/><Relationship Id="rId22" Type="http://schemas.openxmlformats.org/officeDocument/2006/relationships/hyperlink" Target="https://www.ecml.at/TrainingConsultancy/Aroadmapforschoolstosupportthelanguage(s)ofschooling/tabid/5926/language/fr-FR/Default.aspx" TargetMode="External"/><Relationship Id="rId27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4EF8-39F4-434D-96F2-26C84299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1074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Slivensky</dc:creator>
  <cp:lastModifiedBy>Margit Huber</cp:lastModifiedBy>
  <cp:revision>26</cp:revision>
  <cp:lastPrinted>2024-10-15T08:33:00Z</cp:lastPrinted>
  <dcterms:created xsi:type="dcterms:W3CDTF">2023-09-15T09:27:00Z</dcterms:created>
  <dcterms:modified xsi:type="dcterms:W3CDTF">2024-10-15T08:55:00Z</dcterms:modified>
</cp:coreProperties>
</file>